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34" w:rsidRPr="004E15B1" w:rsidRDefault="00410F11" w:rsidP="00410F11">
      <w:pPr>
        <w:jc w:val="center"/>
        <w:rPr>
          <w:rFonts w:asciiTheme="majorHAnsi" w:hAnsiTheme="majorHAnsi" w:cs="Times New Roman"/>
          <w:b/>
          <w:sz w:val="24"/>
          <w:szCs w:val="24"/>
        </w:rPr>
      </w:pPr>
      <w:r w:rsidRPr="004E15B1">
        <w:rPr>
          <w:rFonts w:asciiTheme="majorHAnsi" w:hAnsiTheme="majorHAnsi" w:cs="Times New Roman"/>
          <w:b/>
          <w:sz w:val="24"/>
          <w:szCs w:val="24"/>
        </w:rPr>
        <w:t>Приложение № 3 к Протоколу заседания экспертной сессии «Повышение платежной дисциплины в сфере ТЭК и ЖКХ» от 14.03.2013г.</w:t>
      </w:r>
    </w:p>
    <w:tbl>
      <w:tblPr>
        <w:tblStyle w:val="a3"/>
        <w:tblW w:w="14992" w:type="dxa"/>
        <w:tblLook w:val="04A0"/>
      </w:tblPr>
      <w:tblGrid>
        <w:gridCol w:w="775"/>
        <w:gridCol w:w="2186"/>
        <w:gridCol w:w="348"/>
        <w:gridCol w:w="2718"/>
        <w:gridCol w:w="120"/>
        <w:gridCol w:w="4382"/>
        <w:gridCol w:w="4463"/>
      </w:tblGrid>
      <w:tr w:rsidR="00410F11" w:rsidRPr="004E15B1" w:rsidTr="00D74737">
        <w:trPr>
          <w:trHeight w:val="321"/>
        </w:trPr>
        <w:tc>
          <w:tcPr>
            <w:tcW w:w="775" w:type="dxa"/>
          </w:tcPr>
          <w:p w:rsidR="00410F11" w:rsidRPr="004E15B1" w:rsidRDefault="00410F11" w:rsidP="00410F11">
            <w:pPr>
              <w:jc w:val="center"/>
              <w:rPr>
                <w:rFonts w:asciiTheme="majorHAnsi" w:hAnsiTheme="majorHAnsi" w:cs="Times New Roman"/>
              </w:rPr>
            </w:pPr>
            <w:r w:rsidRPr="004E15B1">
              <w:rPr>
                <w:rFonts w:asciiTheme="majorHAnsi" w:hAnsiTheme="majorHAnsi" w:cs="Times New Roman"/>
              </w:rPr>
              <w:t xml:space="preserve">№ </w:t>
            </w:r>
            <w:proofErr w:type="gramStart"/>
            <w:r w:rsidRPr="004E15B1">
              <w:rPr>
                <w:rFonts w:asciiTheme="majorHAnsi" w:hAnsiTheme="majorHAnsi" w:cs="Times New Roman"/>
              </w:rPr>
              <w:t>п</w:t>
            </w:r>
            <w:proofErr w:type="gramEnd"/>
            <w:r w:rsidRPr="004E15B1">
              <w:rPr>
                <w:rFonts w:asciiTheme="majorHAnsi" w:hAnsiTheme="majorHAnsi" w:cs="Times New Roman"/>
              </w:rPr>
              <w:t>/п</w:t>
            </w:r>
          </w:p>
        </w:tc>
        <w:tc>
          <w:tcPr>
            <w:tcW w:w="2534" w:type="dxa"/>
            <w:gridSpan w:val="2"/>
          </w:tcPr>
          <w:p w:rsidR="00410F11" w:rsidRPr="004E15B1" w:rsidRDefault="00410F11" w:rsidP="00410F11">
            <w:pPr>
              <w:jc w:val="center"/>
              <w:rPr>
                <w:rFonts w:asciiTheme="majorHAnsi" w:hAnsiTheme="majorHAnsi" w:cs="Times New Roman"/>
              </w:rPr>
            </w:pPr>
            <w:r w:rsidRPr="004E15B1">
              <w:rPr>
                <w:rFonts w:asciiTheme="majorHAnsi" w:hAnsiTheme="majorHAnsi" w:cs="Times New Roman"/>
              </w:rPr>
              <w:t>Предложение</w:t>
            </w:r>
          </w:p>
        </w:tc>
        <w:tc>
          <w:tcPr>
            <w:tcW w:w="11683" w:type="dxa"/>
            <w:gridSpan w:val="4"/>
          </w:tcPr>
          <w:p w:rsidR="00410F11" w:rsidRPr="004E15B1" w:rsidRDefault="00410F11" w:rsidP="00410F11">
            <w:pPr>
              <w:jc w:val="center"/>
              <w:rPr>
                <w:rFonts w:asciiTheme="majorHAnsi" w:hAnsiTheme="majorHAnsi" w:cs="Times New Roman"/>
              </w:rPr>
            </w:pPr>
            <w:r w:rsidRPr="004E15B1">
              <w:rPr>
                <w:rFonts w:asciiTheme="majorHAnsi" w:hAnsiTheme="majorHAnsi" w:cs="Times New Roman"/>
              </w:rPr>
              <w:t xml:space="preserve">Нормативный акт: № или пункта для корректировки/проект нового документа </w:t>
            </w:r>
          </w:p>
        </w:tc>
      </w:tr>
      <w:tr w:rsidR="00C97808" w:rsidRPr="004E15B1" w:rsidTr="00D74737">
        <w:tc>
          <w:tcPr>
            <w:tcW w:w="775" w:type="dxa"/>
          </w:tcPr>
          <w:p w:rsidR="00410F11" w:rsidRPr="004E15B1" w:rsidRDefault="00410F11" w:rsidP="00410F11">
            <w:pPr>
              <w:jc w:val="center"/>
              <w:rPr>
                <w:rFonts w:asciiTheme="majorHAnsi" w:hAnsiTheme="majorHAnsi" w:cs="Times New Roman"/>
              </w:rPr>
            </w:pPr>
          </w:p>
        </w:tc>
        <w:tc>
          <w:tcPr>
            <w:tcW w:w="2534" w:type="dxa"/>
            <w:gridSpan w:val="2"/>
          </w:tcPr>
          <w:p w:rsidR="00410F11" w:rsidRPr="004E15B1" w:rsidRDefault="00410F11" w:rsidP="00410F11">
            <w:pPr>
              <w:jc w:val="center"/>
              <w:rPr>
                <w:rFonts w:asciiTheme="majorHAnsi" w:hAnsiTheme="majorHAnsi" w:cs="Times New Roman"/>
              </w:rPr>
            </w:pPr>
          </w:p>
        </w:tc>
        <w:tc>
          <w:tcPr>
            <w:tcW w:w="2718" w:type="dxa"/>
          </w:tcPr>
          <w:p w:rsidR="00410F11" w:rsidRPr="004E15B1" w:rsidRDefault="00410F11" w:rsidP="00410F11">
            <w:pPr>
              <w:jc w:val="center"/>
              <w:rPr>
                <w:rFonts w:asciiTheme="majorHAnsi" w:hAnsiTheme="majorHAnsi" w:cs="Times New Roman"/>
              </w:rPr>
            </w:pPr>
          </w:p>
        </w:tc>
        <w:tc>
          <w:tcPr>
            <w:tcW w:w="4502" w:type="dxa"/>
            <w:gridSpan w:val="2"/>
          </w:tcPr>
          <w:p w:rsidR="00410F11" w:rsidRPr="004E15B1" w:rsidRDefault="00410F11" w:rsidP="00410F11">
            <w:pPr>
              <w:jc w:val="center"/>
              <w:rPr>
                <w:rFonts w:asciiTheme="majorHAnsi" w:hAnsiTheme="majorHAnsi" w:cs="Times New Roman"/>
              </w:rPr>
            </w:pPr>
            <w:r w:rsidRPr="004E15B1">
              <w:rPr>
                <w:rFonts w:asciiTheme="majorHAnsi" w:hAnsiTheme="majorHAnsi" w:cs="Times New Roman"/>
              </w:rPr>
              <w:t>Действующая редакция</w:t>
            </w:r>
          </w:p>
        </w:tc>
        <w:tc>
          <w:tcPr>
            <w:tcW w:w="4463" w:type="dxa"/>
          </w:tcPr>
          <w:p w:rsidR="00410F11" w:rsidRPr="004E15B1" w:rsidRDefault="004E15B1" w:rsidP="00410F11">
            <w:pPr>
              <w:jc w:val="center"/>
              <w:rPr>
                <w:rFonts w:asciiTheme="majorHAnsi" w:hAnsiTheme="majorHAnsi" w:cs="Times New Roman"/>
              </w:rPr>
            </w:pPr>
            <w:r>
              <w:rPr>
                <w:rFonts w:asciiTheme="majorHAnsi" w:hAnsiTheme="majorHAnsi" w:cs="Times New Roman"/>
              </w:rPr>
              <w:t>Предложения</w:t>
            </w:r>
          </w:p>
        </w:tc>
      </w:tr>
      <w:tr w:rsidR="00C97808" w:rsidRPr="004E15B1" w:rsidTr="00D74737">
        <w:trPr>
          <w:trHeight w:val="3669"/>
        </w:trPr>
        <w:tc>
          <w:tcPr>
            <w:tcW w:w="775" w:type="dxa"/>
          </w:tcPr>
          <w:p w:rsidR="00410F11" w:rsidRPr="004E15B1" w:rsidRDefault="00410F11" w:rsidP="00410F11">
            <w:pPr>
              <w:jc w:val="center"/>
              <w:rPr>
                <w:rFonts w:asciiTheme="majorHAnsi" w:hAnsiTheme="majorHAnsi" w:cs="Times New Roman"/>
              </w:rPr>
            </w:pPr>
            <w:r w:rsidRPr="004E15B1">
              <w:rPr>
                <w:rFonts w:asciiTheme="majorHAnsi" w:hAnsiTheme="majorHAnsi" w:cs="Times New Roman"/>
              </w:rPr>
              <w:t>1</w:t>
            </w:r>
          </w:p>
        </w:tc>
        <w:tc>
          <w:tcPr>
            <w:tcW w:w="2534" w:type="dxa"/>
            <w:gridSpan w:val="2"/>
          </w:tcPr>
          <w:p w:rsidR="00410F11" w:rsidRPr="004E15B1" w:rsidRDefault="00410F11" w:rsidP="00410F11">
            <w:pPr>
              <w:jc w:val="center"/>
              <w:rPr>
                <w:rFonts w:asciiTheme="majorHAnsi" w:hAnsiTheme="majorHAnsi" w:cs="Times New Roman"/>
              </w:rPr>
            </w:pPr>
            <w:proofErr w:type="gramStart"/>
            <w:r w:rsidRPr="004E15B1">
              <w:rPr>
                <w:rFonts w:asciiTheme="majorHAnsi" w:hAnsiTheme="majorHAnsi" w:cs="Times New Roman"/>
              </w:rPr>
              <w:t xml:space="preserve">Законодательное закрепление приоритетного права на прямой договор </w:t>
            </w:r>
            <w:proofErr w:type="spellStart"/>
            <w:r w:rsidRPr="004E15B1">
              <w:rPr>
                <w:rFonts w:asciiTheme="majorHAnsi" w:hAnsiTheme="majorHAnsi" w:cs="Times New Roman"/>
              </w:rPr>
              <w:t>ресурсоснабжения</w:t>
            </w:r>
            <w:proofErr w:type="spellEnd"/>
            <w:r w:rsidRPr="004E15B1">
              <w:rPr>
                <w:rFonts w:asciiTheme="majorHAnsi" w:hAnsiTheme="majorHAnsi" w:cs="Times New Roman"/>
              </w:rPr>
              <w:t xml:space="preserve"> Производителя ресурса с непосредственным Потребителем ресурса (без посредника:</w:t>
            </w:r>
            <w:proofErr w:type="gramEnd"/>
            <w:r w:rsidRPr="004E15B1">
              <w:rPr>
                <w:rFonts w:asciiTheme="majorHAnsi" w:hAnsiTheme="majorHAnsi" w:cs="Times New Roman"/>
              </w:rPr>
              <w:t xml:space="preserve"> </w:t>
            </w:r>
            <w:proofErr w:type="gramStart"/>
            <w:r w:rsidRPr="004E15B1">
              <w:rPr>
                <w:rFonts w:asciiTheme="majorHAnsi" w:hAnsiTheme="majorHAnsi" w:cs="Times New Roman"/>
              </w:rPr>
              <w:t xml:space="preserve">ЕТО, УК, ТСЖ), в т.ч. с жителями МКД, и в т.ч. по объектам Министерства обороны (непосредственно с воинской частью, военкоматом и т.д. без участия третьего лица, такого как ОАО «РЭУ») </w:t>
            </w:r>
            <w:proofErr w:type="gramEnd"/>
          </w:p>
        </w:tc>
        <w:tc>
          <w:tcPr>
            <w:tcW w:w="2718" w:type="dxa"/>
          </w:tcPr>
          <w:p w:rsidR="00410F11" w:rsidRPr="004E15B1" w:rsidRDefault="00410F11" w:rsidP="00410F11">
            <w:pPr>
              <w:jc w:val="center"/>
              <w:rPr>
                <w:rFonts w:asciiTheme="majorHAnsi" w:hAnsiTheme="majorHAnsi" w:cs="Times New Roman"/>
              </w:rPr>
            </w:pPr>
            <w:r w:rsidRPr="004E15B1">
              <w:rPr>
                <w:rFonts w:asciiTheme="majorHAnsi" w:hAnsiTheme="majorHAnsi" w:cs="Times New Roman"/>
              </w:rPr>
              <w:t xml:space="preserve">Постановление Правительства РФ от 22.10.2012 N 1075 "О ценообразовании в сфере теплоснабжения" </w:t>
            </w:r>
            <w:r w:rsidRPr="004E15B1">
              <w:rPr>
                <w:rFonts w:asciiTheme="majorHAnsi" w:hAnsiTheme="majorHAnsi" w:cs="Times New Roman"/>
              </w:rPr>
              <w:br/>
            </w:r>
          </w:p>
        </w:tc>
        <w:tc>
          <w:tcPr>
            <w:tcW w:w="4502" w:type="dxa"/>
            <w:gridSpan w:val="2"/>
          </w:tcPr>
          <w:p w:rsidR="00410F11" w:rsidRPr="004E15B1" w:rsidRDefault="00410F11" w:rsidP="00410F11">
            <w:pPr>
              <w:widowControl w:val="0"/>
              <w:autoSpaceDE w:val="0"/>
              <w:autoSpaceDN w:val="0"/>
              <w:adjustRightInd w:val="0"/>
              <w:ind w:firstLine="540"/>
              <w:jc w:val="both"/>
              <w:rPr>
                <w:rFonts w:asciiTheme="majorHAnsi" w:hAnsiTheme="majorHAnsi" w:cs="Calibri"/>
              </w:rPr>
            </w:pPr>
            <w:r w:rsidRPr="004E15B1">
              <w:rPr>
                <w:rFonts w:asciiTheme="majorHAnsi" w:hAnsiTheme="majorHAnsi" w:cs="Calibri"/>
              </w:rP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410F11" w:rsidRPr="004E15B1" w:rsidRDefault="00410F11" w:rsidP="00410F11">
            <w:pPr>
              <w:widowControl w:val="0"/>
              <w:autoSpaceDE w:val="0"/>
              <w:autoSpaceDN w:val="0"/>
              <w:adjustRightInd w:val="0"/>
              <w:ind w:firstLine="540"/>
              <w:jc w:val="both"/>
              <w:rPr>
                <w:rFonts w:asciiTheme="majorHAnsi" w:hAnsiTheme="majorHAnsi" w:cs="Calibri"/>
              </w:rPr>
            </w:pPr>
            <w:r w:rsidRPr="004E15B1">
              <w:rPr>
                <w:rFonts w:asciiTheme="majorHAnsi" w:hAnsiTheme="majorHAnsi" w:cs="Calibri"/>
              </w:rP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410F11" w:rsidRPr="004E15B1" w:rsidRDefault="00410F11" w:rsidP="00410F11">
            <w:pPr>
              <w:jc w:val="center"/>
              <w:rPr>
                <w:rFonts w:asciiTheme="majorHAnsi" w:hAnsiTheme="majorHAnsi" w:cs="Times New Roman"/>
              </w:rPr>
            </w:pPr>
          </w:p>
        </w:tc>
        <w:tc>
          <w:tcPr>
            <w:tcW w:w="4463" w:type="dxa"/>
          </w:tcPr>
          <w:p w:rsidR="00410F11" w:rsidRPr="004E15B1" w:rsidRDefault="00410F11" w:rsidP="00410F11">
            <w:pPr>
              <w:widowControl w:val="0"/>
              <w:autoSpaceDE w:val="0"/>
              <w:autoSpaceDN w:val="0"/>
              <w:adjustRightInd w:val="0"/>
              <w:ind w:firstLine="540"/>
              <w:jc w:val="both"/>
              <w:rPr>
                <w:rFonts w:asciiTheme="majorHAnsi" w:hAnsiTheme="majorHAnsi" w:cs="Calibri"/>
              </w:rPr>
            </w:pPr>
            <w:r w:rsidRPr="004E15B1">
              <w:rPr>
                <w:rFonts w:asciiTheme="majorHAnsi" w:hAnsiTheme="majorHAnsi" w:cs="Calibri"/>
              </w:rP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410F11" w:rsidRPr="004E15B1" w:rsidRDefault="00410F11" w:rsidP="00410F11">
            <w:pPr>
              <w:widowControl w:val="0"/>
              <w:autoSpaceDE w:val="0"/>
              <w:autoSpaceDN w:val="0"/>
              <w:adjustRightInd w:val="0"/>
              <w:ind w:firstLine="540"/>
              <w:jc w:val="both"/>
              <w:rPr>
                <w:rFonts w:asciiTheme="majorHAnsi" w:hAnsiTheme="majorHAnsi" w:cs="Calibri"/>
              </w:rPr>
            </w:pPr>
            <w:proofErr w:type="gramStart"/>
            <w:r w:rsidRPr="004E15B1">
              <w:rPr>
                <w:rFonts w:asciiTheme="majorHAnsi" w:hAnsiTheme="majorHAnsi" w:cs="Calibri"/>
              </w:rPr>
              <w:t xml:space="preserve">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w:t>
            </w:r>
            <w:r w:rsidRPr="004E15B1">
              <w:rPr>
                <w:rFonts w:asciiTheme="majorHAnsi" w:hAnsiTheme="majorHAnsi"/>
                <w:color w:val="0000FF"/>
              </w:rPr>
              <w:t xml:space="preserve">оплату работ по приему, учету и расчету платежей за тепловую энергию, горячее водоснабжение (ГВС) </w:t>
            </w:r>
            <w:r w:rsidRPr="004E15B1">
              <w:rPr>
                <w:rFonts w:asciiTheme="majorHAnsi" w:hAnsiTheme="majorHAnsi" w:cs="Calibri"/>
              </w:rPr>
              <w:t>и консультационных услуг, которые определяются исходя из плановых (расчетных) значений цен и экономически обоснованных объемов</w:t>
            </w:r>
            <w:proofErr w:type="gramEnd"/>
            <w:r w:rsidRPr="004E15B1">
              <w:rPr>
                <w:rFonts w:asciiTheme="majorHAnsi" w:hAnsiTheme="majorHAnsi" w:cs="Calibri"/>
              </w:rPr>
              <w:t xml:space="preserve"> работ (услуг);</w:t>
            </w:r>
          </w:p>
          <w:p w:rsidR="00410F11" w:rsidRPr="004E15B1" w:rsidRDefault="00410F11" w:rsidP="00410F11">
            <w:pPr>
              <w:jc w:val="both"/>
              <w:rPr>
                <w:rFonts w:asciiTheme="majorHAnsi" w:hAnsiTheme="majorHAnsi"/>
                <w:color w:val="0000FF"/>
              </w:rPr>
            </w:pPr>
            <w:r w:rsidRPr="004E15B1">
              <w:rPr>
                <w:rFonts w:asciiTheme="majorHAnsi" w:hAnsiTheme="majorHAnsi"/>
                <w:color w:val="0000FF"/>
              </w:rPr>
              <w:t xml:space="preserve">44.1. Расходы на работы по приему платежей от населения за тепловую энергию и ГВС определяются на основе заключенных договоров с соответствующими учреждениями, участвующими в схеме приема платежей  (банками, учреждениями связи, расчетно-кассовые центры и т.д.). </w:t>
            </w:r>
            <w:proofErr w:type="gramStart"/>
            <w:r w:rsidRPr="004E15B1">
              <w:rPr>
                <w:rFonts w:asciiTheme="majorHAnsi" w:hAnsiTheme="majorHAnsi"/>
                <w:color w:val="0000FF"/>
              </w:rPr>
              <w:t xml:space="preserve">Если предприятие самостоятельно принимает платежи от населения за тепловую энергию и ГВС, то по данному элементу определяются: затраты на оплату труда работников по приему платежей, </w:t>
            </w:r>
            <w:r w:rsidRPr="004E15B1">
              <w:rPr>
                <w:rFonts w:asciiTheme="majorHAnsi" w:hAnsiTheme="majorHAnsi"/>
                <w:color w:val="0000FF"/>
              </w:rPr>
              <w:lastRenderedPageBreak/>
              <w:t>отчисления на социальное страхование, амортизация и обслуживание применяемых контрольно - кассовых машин, инкассация и другие расходы, связанные с выполнением работ по приему платежей от населения за тепловую энергию и ГВС.</w:t>
            </w:r>
            <w:proofErr w:type="gramEnd"/>
            <w:r w:rsidRPr="004E15B1">
              <w:rPr>
                <w:rFonts w:asciiTheme="majorHAnsi" w:hAnsiTheme="majorHAnsi"/>
                <w:color w:val="0000FF"/>
              </w:rPr>
              <w:t xml:space="preserve"> Эти расходы отражаются в "</w:t>
            </w:r>
            <w:proofErr w:type="spellStart"/>
            <w:r w:rsidRPr="004E15B1">
              <w:rPr>
                <w:rFonts w:asciiTheme="majorHAnsi" w:hAnsiTheme="majorHAnsi"/>
                <w:color w:val="0000FF"/>
              </w:rPr>
              <w:t>Общеэксплуатационных</w:t>
            </w:r>
            <w:proofErr w:type="spellEnd"/>
            <w:r w:rsidRPr="004E15B1">
              <w:rPr>
                <w:rFonts w:asciiTheme="majorHAnsi" w:hAnsiTheme="majorHAnsi"/>
                <w:color w:val="0000FF"/>
              </w:rPr>
              <w:t xml:space="preserve"> расходах".</w:t>
            </w:r>
          </w:p>
          <w:p w:rsidR="00410F11" w:rsidRPr="004E15B1" w:rsidRDefault="00410F11" w:rsidP="00410F11">
            <w:pPr>
              <w:jc w:val="both"/>
              <w:rPr>
                <w:rFonts w:asciiTheme="majorHAnsi" w:hAnsiTheme="majorHAnsi" w:cs="Times New Roman"/>
              </w:rPr>
            </w:pPr>
            <w:r w:rsidRPr="004E15B1">
              <w:rPr>
                <w:rFonts w:asciiTheme="majorHAnsi" w:hAnsiTheme="majorHAnsi"/>
                <w:color w:val="0000FF"/>
              </w:rPr>
              <w:t xml:space="preserve">     Расходы на работы по расчету и учету платежей за тепловую энергию определяются на основе заключенных договоров с расчетно-кассовыми центрами (структурными подразделениями, входящими в другие предприятия). Если работы по расчету и учету платежей выполняет предприятие, то по данному элементу затраты определяются в составе "</w:t>
            </w:r>
            <w:proofErr w:type="spellStart"/>
            <w:r w:rsidRPr="004E15B1">
              <w:rPr>
                <w:rFonts w:asciiTheme="majorHAnsi" w:hAnsiTheme="majorHAnsi"/>
                <w:color w:val="0000FF"/>
              </w:rPr>
              <w:t>Общеэксплуатационных</w:t>
            </w:r>
            <w:proofErr w:type="spellEnd"/>
            <w:r w:rsidRPr="004E15B1">
              <w:rPr>
                <w:rFonts w:asciiTheme="majorHAnsi" w:hAnsiTheme="majorHAnsi"/>
                <w:color w:val="0000FF"/>
              </w:rPr>
              <w:t xml:space="preserve"> расходов".</w:t>
            </w:r>
          </w:p>
        </w:tc>
      </w:tr>
      <w:tr w:rsidR="00410F11" w:rsidRPr="00410F11" w:rsidTr="00410F11">
        <w:trPr>
          <w:trHeight w:val="2775"/>
        </w:trPr>
        <w:tc>
          <w:tcPr>
            <w:tcW w:w="14992" w:type="dxa"/>
            <w:gridSpan w:val="7"/>
          </w:tcPr>
          <w:p w:rsidR="00410F11" w:rsidRPr="00410F11" w:rsidRDefault="00410F11" w:rsidP="00410F11">
            <w:pPr>
              <w:ind w:firstLine="720"/>
              <w:jc w:val="both"/>
              <w:rPr>
                <w:rFonts w:asciiTheme="majorHAnsi" w:hAnsiTheme="majorHAnsi"/>
              </w:rPr>
            </w:pPr>
            <w:r w:rsidRPr="00410F11">
              <w:rPr>
                <w:rFonts w:asciiTheme="majorHAnsi" w:hAnsiTheme="majorHAnsi"/>
              </w:rPr>
              <w:lastRenderedPageBreak/>
              <w:t>В качестве альтернативы</w:t>
            </w:r>
            <w:r>
              <w:rPr>
                <w:rFonts w:asciiTheme="majorHAnsi" w:hAnsiTheme="majorHAnsi"/>
              </w:rPr>
              <w:t xml:space="preserve"> необходимо</w:t>
            </w:r>
            <w:r w:rsidRPr="00410F11">
              <w:rPr>
                <w:rFonts w:asciiTheme="majorHAnsi" w:hAnsiTheme="majorHAnsi"/>
              </w:rPr>
              <w:t xml:space="preserve"> рассмотреть вариант решения по установлению дифференцированного тарифа, т.к. учитывая наличие права собственников по выбору одного из способов расчетов за коммунальные услуги, нормативными актами по регулированию тарифов должны быть предусмотрены два вида тарифа:</w:t>
            </w:r>
          </w:p>
          <w:p w:rsidR="00410F11" w:rsidRPr="00410F11" w:rsidRDefault="00410F11" w:rsidP="00410F11">
            <w:pPr>
              <w:numPr>
                <w:ilvl w:val="0"/>
                <w:numId w:val="1"/>
              </w:numPr>
              <w:jc w:val="both"/>
              <w:rPr>
                <w:rFonts w:asciiTheme="majorHAnsi" w:hAnsiTheme="majorHAnsi"/>
              </w:rPr>
            </w:pPr>
            <w:r w:rsidRPr="00410F11">
              <w:rPr>
                <w:rFonts w:asciiTheme="majorHAnsi" w:hAnsiTheme="majorHAnsi"/>
              </w:rPr>
              <w:t>Для жилых домов, выбравших способ расчетов напрямую с РСО затраты на организацию расчетов и прием платежей – тариф на тепловую энергию с учетом расходов на организацию расчетов, печать доставку квитанций и прием платежей.</w:t>
            </w:r>
          </w:p>
          <w:p w:rsidR="00410F11" w:rsidRPr="00410F11" w:rsidRDefault="00410F11" w:rsidP="00410F11">
            <w:pPr>
              <w:numPr>
                <w:ilvl w:val="0"/>
                <w:numId w:val="1"/>
              </w:numPr>
              <w:jc w:val="both"/>
              <w:rPr>
                <w:rFonts w:asciiTheme="majorHAnsi" w:hAnsiTheme="majorHAnsi"/>
              </w:rPr>
            </w:pPr>
            <w:r w:rsidRPr="00410F11">
              <w:rPr>
                <w:rFonts w:asciiTheme="majorHAnsi" w:hAnsiTheme="majorHAnsi"/>
              </w:rPr>
              <w:t xml:space="preserve">Для жилых домов, выбравших способ расчетов через управляющую организацию – тариф на тепловую энергию без учета затрат на организацию расчетов, печать доставку квитанций и прием платежей. </w:t>
            </w:r>
          </w:p>
          <w:p w:rsidR="00410F11" w:rsidRPr="00410F11" w:rsidRDefault="00410F11" w:rsidP="00410F11">
            <w:pPr>
              <w:ind w:firstLine="720"/>
              <w:jc w:val="both"/>
              <w:rPr>
                <w:rFonts w:ascii="Calibri" w:hAnsi="Calibri" w:cs="Calibri"/>
              </w:rPr>
            </w:pPr>
            <w:r w:rsidRPr="00410F11">
              <w:rPr>
                <w:rFonts w:asciiTheme="majorHAnsi" w:hAnsiTheme="majorHAnsi"/>
              </w:rPr>
              <w:t xml:space="preserve">Кроме того, в понятийный аппарат законодательных, нормативных актов, регулирующих область тепло – электроэнергетики должны быть внесены изменения в части дополнения определением – ресурсоснабжающая организация, частично выполняющая функции исполнителя коммунальных услуг по ведению учета, расчетов и сбора платы за коммунальные ресурсы с собственниками, нанимателями жилых (нежилых) помещений.  </w:t>
            </w:r>
          </w:p>
        </w:tc>
      </w:tr>
      <w:tr w:rsidR="00C97808" w:rsidRPr="00410F11" w:rsidTr="00D74737">
        <w:tc>
          <w:tcPr>
            <w:tcW w:w="775" w:type="dxa"/>
          </w:tcPr>
          <w:p w:rsidR="00410F11" w:rsidRPr="00410F11" w:rsidRDefault="00410F11" w:rsidP="00410F11">
            <w:pPr>
              <w:jc w:val="center"/>
              <w:rPr>
                <w:rFonts w:ascii="Times New Roman" w:hAnsi="Times New Roman" w:cs="Times New Roman"/>
              </w:rPr>
            </w:pPr>
          </w:p>
        </w:tc>
        <w:tc>
          <w:tcPr>
            <w:tcW w:w="2186" w:type="dxa"/>
          </w:tcPr>
          <w:p w:rsidR="00410F11" w:rsidRPr="00410F11" w:rsidRDefault="00410F11" w:rsidP="00410F11">
            <w:pPr>
              <w:widowControl w:val="0"/>
              <w:autoSpaceDE w:val="0"/>
              <w:autoSpaceDN w:val="0"/>
              <w:adjustRightInd w:val="0"/>
              <w:jc w:val="both"/>
              <w:rPr>
                <w:rFonts w:ascii="Times New Roman" w:hAnsi="Times New Roman" w:cs="Times New Roman"/>
              </w:rPr>
            </w:pPr>
          </w:p>
        </w:tc>
        <w:tc>
          <w:tcPr>
            <w:tcW w:w="3186" w:type="dxa"/>
            <w:gridSpan w:val="3"/>
          </w:tcPr>
          <w:p w:rsidR="00410F11" w:rsidRPr="00410F11" w:rsidRDefault="00410F11" w:rsidP="00410F11">
            <w:pPr>
              <w:widowControl w:val="0"/>
              <w:autoSpaceDE w:val="0"/>
              <w:autoSpaceDN w:val="0"/>
              <w:adjustRightInd w:val="0"/>
              <w:jc w:val="center"/>
              <w:rPr>
                <w:rFonts w:ascii="Calibri" w:hAnsi="Calibri" w:cs="Calibri"/>
                <w:iCs/>
                <w:color w:val="000000" w:themeColor="text1"/>
              </w:rPr>
            </w:pPr>
            <w:proofErr w:type="gramStart"/>
            <w:r w:rsidRPr="00410F11">
              <w:rPr>
                <w:rFonts w:ascii="Calibri" w:hAnsi="Calibri" w:cs="Calibri"/>
                <w:iCs/>
                <w:color w:val="000000" w:themeColor="text1"/>
              </w:rPr>
              <w:t xml:space="preserve">Постановление Правительства РФ от 13.08.2006г. N 491 "Об утверждении Правил содержания общего имущества в МКД и правил изменения размера платы за содержание и ремонт жилого помещения в случае оказания услуг и выполнения работ по </w:t>
            </w:r>
            <w:r w:rsidRPr="00410F11">
              <w:rPr>
                <w:rFonts w:ascii="Calibri" w:hAnsi="Calibri" w:cs="Calibri"/>
                <w:iCs/>
                <w:color w:val="000000" w:themeColor="text1"/>
              </w:rPr>
              <w:lastRenderedPageBreak/>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10F11" w:rsidRPr="00410F11" w:rsidRDefault="00410F11" w:rsidP="00410F11">
            <w:pPr>
              <w:widowControl w:val="0"/>
              <w:autoSpaceDE w:val="0"/>
              <w:autoSpaceDN w:val="0"/>
              <w:adjustRightInd w:val="0"/>
              <w:jc w:val="both"/>
              <w:rPr>
                <w:rFonts w:ascii="Calibri" w:hAnsi="Calibri" w:cs="Calibri"/>
                <w:iCs/>
                <w:color w:val="000000" w:themeColor="text1"/>
              </w:rPr>
            </w:pPr>
          </w:p>
          <w:p w:rsidR="00410F11" w:rsidRPr="00410F11" w:rsidRDefault="00410F11" w:rsidP="00410F11">
            <w:pPr>
              <w:jc w:val="center"/>
              <w:rPr>
                <w:rFonts w:ascii="Times New Roman" w:hAnsi="Times New Roman" w:cs="Times New Roman"/>
              </w:rPr>
            </w:pPr>
          </w:p>
        </w:tc>
        <w:tc>
          <w:tcPr>
            <w:tcW w:w="4382" w:type="dxa"/>
          </w:tcPr>
          <w:p w:rsidR="00410F11" w:rsidRPr="005A231D" w:rsidRDefault="00410F11" w:rsidP="00410F11">
            <w:pPr>
              <w:autoSpaceDE w:val="0"/>
              <w:autoSpaceDN w:val="0"/>
              <w:adjustRightInd w:val="0"/>
              <w:ind w:firstLine="540"/>
              <w:jc w:val="both"/>
              <w:rPr>
                <w:rFonts w:ascii="Calibri" w:hAnsi="Calibri" w:cs="Calibri"/>
              </w:rPr>
            </w:pPr>
            <w:r w:rsidRPr="005A231D">
              <w:rPr>
                <w:rFonts w:ascii="Calibri" w:hAnsi="Calibri" w:cs="Calibri"/>
              </w:rPr>
              <w:lastRenderedPageBreak/>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5A231D">
              <w:rPr>
                <w:rFonts w:ascii="Calibri" w:hAnsi="Calibri" w:cs="Calibri"/>
              </w:rPr>
              <w:t>электро</w:t>
            </w:r>
            <w:proofErr w:type="spellEnd"/>
            <w:r w:rsidRPr="005A231D">
              <w:rPr>
                <w:rFonts w:ascii="Calibri" w:hAnsi="Calibri" w:cs="Calibri"/>
              </w:rPr>
              <w:t>, тепл</w:t>
            </w:r>
            <w:proofErr w:type="gramStart"/>
            <w:r w:rsidRPr="005A231D">
              <w:rPr>
                <w:rFonts w:ascii="Calibri" w:hAnsi="Calibri" w:cs="Calibri"/>
              </w:rPr>
              <w:t>о-</w:t>
            </w:r>
            <w:proofErr w:type="gramEnd"/>
            <w:r w:rsidRPr="005A231D">
              <w:rPr>
                <w:rFonts w:ascii="Calibri" w:hAnsi="Calibri" w:cs="Calibri"/>
              </w:rPr>
              <w:t xml:space="preserve">, </w:t>
            </w:r>
            <w:proofErr w:type="spellStart"/>
            <w:r w:rsidRPr="005A231D">
              <w:rPr>
                <w:rFonts w:ascii="Calibri" w:hAnsi="Calibri" w:cs="Calibri"/>
              </w:rPr>
              <w:t>газо</w:t>
            </w:r>
            <w:proofErr w:type="spellEnd"/>
            <w:r w:rsidRPr="005A231D">
              <w:rPr>
                <w:rFonts w:ascii="Calibri" w:hAnsi="Calibri" w:cs="Calibri"/>
              </w:rPr>
              <w:t xml:space="preserve">- и </w:t>
            </w:r>
            <w:r w:rsidRPr="005A231D">
              <w:rPr>
                <w:rFonts w:ascii="Calibri" w:hAnsi="Calibri" w:cs="Calibri"/>
              </w:rPr>
              <w:lastRenderedPageBreak/>
              <w:t>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10F11" w:rsidRDefault="00410F11" w:rsidP="00410F11">
            <w:pPr>
              <w:autoSpaceDE w:val="0"/>
              <w:autoSpaceDN w:val="0"/>
              <w:adjustRightInd w:val="0"/>
              <w:ind w:firstLine="540"/>
              <w:jc w:val="both"/>
              <w:rPr>
                <w:rFonts w:ascii="Calibri" w:hAnsi="Calibri" w:cs="Calibri"/>
              </w:rPr>
            </w:pPr>
          </w:p>
          <w:p w:rsidR="00410F11" w:rsidRPr="00410F11" w:rsidRDefault="00410F11" w:rsidP="00410F11">
            <w:pPr>
              <w:widowControl w:val="0"/>
              <w:autoSpaceDE w:val="0"/>
              <w:autoSpaceDN w:val="0"/>
              <w:adjustRightInd w:val="0"/>
              <w:ind w:firstLine="540"/>
              <w:jc w:val="both"/>
              <w:rPr>
                <w:rFonts w:ascii="Calibri" w:hAnsi="Calibri" w:cs="Calibri"/>
              </w:rPr>
            </w:pPr>
          </w:p>
        </w:tc>
        <w:tc>
          <w:tcPr>
            <w:tcW w:w="4463" w:type="dxa"/>
          </w:tcPr>
          <w:p w:rsidR="00410F11" w:rsidRPr="00E44D83" w:rsidRDefault="00410F11" w:rsidP="00410F11">
            <w:pPr>
              <w:autoSpaceDE w:val="0"/>
              <w:autoSpaceDN w:val="0"/>
              <w:adjustRightInd w:val="0"/>
              <w:ind w:firstLine="540"/>
              <w:jc w:val="both"/>
              <w:rPr>
                <w:rFonts w:ascii="Calibri" w:hAnsi="Calibri" w:cs="Calibri"/>
                <w:color w:val="0000FF"/>
              </w:rPr>
            </w:pPr>
            <w:r w:rsidRPr="00E44D83">
              <w:rPr>
                <w:rFonts w:ascii="Calibri" w:hAnsi="Calibri" w:cs="Calibri"/>
                <w:color w:val="0000FF"/>
              </w:rPr>
              <w:lastRenderedPageBreak/>
              <w:t>Дополнить</w:t>
            </w:r>
          </w:p>
          <w:p w:rsidR="00410F11" w:rsidRPr="00E44D83" w:rsidRDefault="00410F11" w:rsidP="00410F11">
            <w:pPr>
              <w:autoSpaceDE w:val="0"/>
              <w:autoSpaceDN w:val="0"/>
              <w:adjustRightInd w:val="0"/>
              <w:ind w:firstLine="540"/>
              <w:jc w:val="both"/>
              <w:rPr>
                <w:rFonts w:ascii="Calibri" w:hAnsi="Calibri" w:cs="Calibri"/>
                <w:color w:val="0000FF"/>
              </w:rPr>
            </w:pPr>
            <w:r w:rsidRPr="00E44D83">
              <w:rPr>
                <w:rFonts w:ascii="Calibri" w:hAnsi="Calibri" w:cs="Calibri"/>
                <w:color w:val="0000FF"/>
              </w:rPr>
              <w:t xml:space="preserve">29.1. </w:t>
            </w:r>
            <w:proofErr w:type="gramStart"/>
            <w:r w:rsidRPr="00E44D83">
              <w:rPr>
                <w:rFonts w:ascii="Calibri" w:hAnsi="Calibri" w:cs="Calibri"/>
                <w:color w:val="0000FF"/>
              </w:rPr>
              <w:t xml:space="preserve">В случае принятия общим собранием собственников помещений в МКД или общим собранием членов ТСЖ или ЖСК решения о расчетах за </w:t>
            </w:r>
            <w:r w:rsidR="00C309AE">
              <w:rPr>
                <w:rFonts w:ascii="Calibri" w:hAnsi="Calibri" w:cs="Calibri"/>
                <w:color w:val="0000FF"/>
              </w:rPr>
              <w:t xml:space="preserve">все или некоторые </w:t>
            </w:r>
            <w:r w:rsidRPr="00E44D83">
              <w:rPr>
                <w:rFonts w:ascii="Calibri" w:hAnsi="Calibri" w:cs="Calibri"/>
                <w:color w:val="0000FF"/>
              </w:rPr>
              <w:t>коммунальные услуги</w:t>
            </w:r>
            <w:r w:rsidR="00C309AE">
              <w:rPr>
                <w:rFonts w:ascii="Calibri" w:hAnsi="Calibri" w:cs="Calibri"/>
                <w:color w:val="0000FF"/>
              </w:rPr>
              <w:t>,  в т.ч. потребляемые при использовании общего имущества многоквартирного дома,</w:t>
            </w:r>
            <w:r w:rsidRPr="00E44D83">
              <w:rPr>
                <w:rFonts w:ascii="Calibri" w:hAnsi="Calibri" w:cs="Calibri"/>
                <w:color w:val="0000FF"/>
              </w:rPr>
              <w:t xml:space="preserve"> </w:t>
            </w:r>
            <w:r w:rsidR="00C309AE">
              <w:rPr>
                <w:rFonts w:ascii="Calibri" w:hAnsi="Calibri" w:cs="Calibri"/>
                <w:color w:val="0000FF"/>
              </w:rPr>
              <w:t xml:space="preserve">а также о порядке внесения платы за эти услуги   </w:t>
            </w:r>
            <w:r w:rsidRPr="00E44D83">
              <w:rPr>
                <w:rFonts w:ascii="Calibri" w:hAnsi="Calibri" w:cs="Calibri"/>
                <w:color w:val="0000FF"/>
              </w:rPr>
              <w:lastRenderedPageBreak/>
              <w:t>непосредственно с РСО</w:t>
            </w:r>
            <w:r>
              <w:rPr>
                <w:rFonts w:ascii="Calibri" w:hAnsi="Calibri" w:cs="Calibri"/>
                <w:color w:val="0000FF"/>
              </w:rPr>
              <w:t>,</w:t>
            </w:r>
            <w:r w:rsidRPr="00E44D83">
              <w:rPr>
                <w:rFonts w:ascii="Calibri" w:hAnsi="Calibri" w:cs="Calibri"/>
                <w:color w:val="0000FF"/>
              </w:rPr>
              <w:t xml:space="preserve"> обоснованные расходы на истребование задолженности по оплате жилых помещений и коммунальных услуг, на</w:t>
            </w:r>
            <w:proofErr w:type="gramEnd"/>
            <w:r w:rsidRPr="00E44D83">
              <w:rPr>
                <w:rFonts w:ascii="Calibri" w:hAnsi="Calibri" w:cs="Calibri"/>
                <w:color w:val="0000FF"/>
              </w:rPr>
              <w:t xml:space="preserve">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исключаются из расходов за содержание и ремонт жилого помещения </w:t>
            </w:r>
            <w:r>
              <w:rPr>
                <w:rFonts w:ascii="Calibri" w:hAnsi="Calibri" w:cs="Calibri"/>
                <w:color w:val="0000FF"/>
              </w:rPr>
              <w:t>исполнителя коммунальных услуг и</w:t>
            </w:r>
            <w:r w:rsidRPr="00E44D83">
              <w:rPr>
                <w:rFonts w:ascii="Calibri" w:hAnsi="Calibri" w:cs="Calibri"/>
                <w:color w:val="0000FF"/>
              </w:rPr>
              <w:t xml:space="preserve"> включаются в тариф </w:t>
            </w:r>
            <w:r>
              <w:rPr>
                <w:rFonts w:ascii="Calibri" w:hAnsi="Calibri" w:cs="Calibri"/>
                <w:color w:val="0000FF"/>
              </w:rPr>
              <w:t>ресурсоснабжающей организации</w:t>
            </w:r>
            <w:r w:rsidRPr="00E44D83">
              <w:rPr>
                <w:rFonts w:ascii="Calibri" w:hAnsi="Calibri" w:cs="Calibri"/>
                <w:color w:val="0000FF"/>
              </w:rPr>
              <w:t xml:space="preserve">. </w:t>
            </w:r>
          </w:p>
          <w:p w:rsidR="00410F11" w:rsidRPr="00410F11" w:rsidRDefault="00410F11" w:rsidP="00410F11">
            <w:pPr>
              <w:widowControl w:val="0"/>
              <w:autoSpaceDE w:val="0"/>
              <w:autoSpaceDN w:val="0"/>
              <w:adjustRightInd w:val="0"/>
              <w:ind w:firstLine="540"/>
              <w:jc w:val="both"/>
              <w:rPr>
                <w:rFonts w:ascii="Calibri" w:hAnsi="Calibri" w:cs="Calibri"/>
              </w:rPr>
            </w:pPr>
          </w:p>
        </w:tc>
      </w:tr>
      <w:tr w:rsidR="00C97808" w:rsidRPr="00410F11" w:rsidTr="00D74737">
        <w:tc>
          <w:tcPr>
            <w:tcW w:w="775" w:type="dxa"/>
          </w:tcPr>
          <w:p w:rsidR="00410F11" w:rsidRPr="00410F11" w:rsidRDefault="00410F11" w:rsidP="00410F11">
            <w:pPr>
              <w:jc w:val="center"/>
              <w:rPr>
                <w:rFonts w:ascii="Times New Roman" w:hAnsi="Times New Roman" w:cs="Times New Roman"/>
              </w:rPr>
            </w:pPr>
          </w:p>
        </w:tc>
        <w:tc>
          <w:tcPr>
            <w:tcW w:w="2186" w:type="dxa"/>
          </w:tcPr>
          <w:p w:rsidR="00410F11" w:rsidRPr="00410F11" w:rsidRDefault="00410F11" w:rsidP="00410F11">
            <w:pPr>
              <w:jc w:val="center"/>
              <w:rPr>
                <w:rFonts w:ascii="Times New Roman" w:hAnsi="Times New Roman" w:cs="Times New Roman"/>
              </w:rPr>
            </w:pPr>
          </w:p>
        </w:tc>
        <w:tc>
          <w:tcPr>
            <w:tcW w:w="3186" w:type="dxa"/>
            <w:gridSpan w:val="3"/>
          </w:tcPr>
          <w:p w:rsidR="00410F11" w:rsidRPr="00410F11" w:rsidRDefault="00410F11" w:rsidP="00410F11">
            <w:pPr>
              <w:autoSpaceDE w:val="0"/>
              <w:autoSpaceDN w:val="0"/>
              <w:adjustRightInd w:val="0"/>
              <w:ind w:firstLine="540"/>
              <w:jc w:val="center"/>
              <w:rPr>
                <w:rFonts w:ascii="Calibri" w:hAnsi="Calibri" w:cs="Calibri"/>
              </w:rPr>
            </w:pPr>
            <w:r w:rsidRPr="00410F11">
              <w:t>Федеральный закон № 190 –ФЗ от 27.07.2010 г. «О теплоснабжении»</w:t>
            </w:r>
          </w:p>
          <w:p w:rsidR="00410F11" w:rsidRPr="00410F11" w:rsidRDefault="00410F11" w:rsidP="00410F11">
            <w:pPr>
              <w:jc w:val="center"/>
              <w:rPr>
                <w:rFonts w:ascii="Times New Roman" w:hAnsi="Times New Roman" w:cs="Times New Roman"/>
              </w:rPr>
            </w:pPr>
          </w:p>
        </w:tc>
        <w:tc>
          <w:tcPr>
            <w:tcW w:w="4382" w:type="dxa"/>
          </w:tcPr>
          <w:p w:rsidR="00410F11" w:rsidRDefault="00410F11" w:rsidP="00410F11">
            <w:pPr>
              <w:autoSpaceDE w:val="0"/>
              <w:autoSpaceDN w:val="0"/>
              <w:adjustRightInd w:val="0"/>
              <w:ind w:firstLine="540"/>
              <w:jc w:val="both"/>
              <w:rPr>
                <w:rFonts w:ascii="Calibri" w:hAnsi="Calibri" w:cs="Calibri"/>
              </w:rPr>
            </w:pPr>
            <w:r>
              <w:rPr>
                <w:rFonts w:ascii="Calibri" w:hAnsi="Calibri"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410F11" w:rsidRDefault="00410F11" w:rsidP="00410F11">
            <w:pPr>
              <w:autoSpaceDE w:val="0"/>
              <w:autoSpaceDN w:val="0"/>
              <w:adjustRightInd w:val="0"/>
              <w:ind w:firstLine="540"/>
              <w:jc w:val="both"/>
              <w:rPr>
                <w:rFonts w:ascii="Calibri" w:hAnsi="Calibri" w:cs="Calibri"/>
              </w:rPr>
            </w:pPr>
            <w:r>
              <w:rPr>
                <w:rFonts w:ascii="Calibri" w:hAnsi="Calibri"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410F11" w:rsidRDefault="00410F11" w:rsidP="00410F11">
            <w:pPr>
              <w:autoSpaceDE w:val="0"/>
              <w:autoSpaceDN w:val="0"/>
              <w:adjustRightInd w:val="0"/>
              <w:ind w:firstLine="540"/>
              <w:jc w:val="both"/>
              <w:rPr>
                <w:rFonts w:ascii="Calibri" w:hAnsi="Calibri" w:cs="Calibri"/>
              </w:rPr>
            </w:pPr>
            <w:r>
              <w:rPr>
                <w:rFonts w:ascii="Calibri" w:hAnsi="Calibri" w:cs="Calibri"/>
              </w:rPr>
              <w:t xml:space="preserve">2) долгосрочные договоры </w:t>
            </w:r>
            <w:r>
              <w:rPr>
                <w:rFonts w:ascii="Calibri" w:hAnsi="Calibri" w:cs="Calibri"/>
              </w:rPr>
              <w:lastRenderedPageBreak/>
              <w:t>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410F11" w:rsidRPr="00410F11" w:rsidRDefault="00410F11" w:rsidP="00410F11">
            <w:pPr>
              <w:widowControl w:val="0"/>
              <w:autoSpaceDE w:val="0"/>
              <w:autoSpaceDN w:val="0"/>
              <w:adjustRightInd w:val="0"/>
              <w:ind w:firstLine="540"/>
              <w:jc w:val="both"/>
              <w:rPr>
                <w:rFonts w:ascii="Calibri" w:hAnsi="Calibri" w:cs="Calibri"/>
              </w:rPr>
            </w:pPr>
          </w:p>
        </w:tc>
        <w:tc>
          <w:tcPr>
            <w:tcW w:w="4463" w:type="dxa"/>
          </w:tcPr>
          <w:p w:rsidR="00410F11" w:rsidRPr="00E44D83" w:rsidRDefault="00410F11" w:rsidP="00410F11">
            <w:pPr>
              <w:jc w:val="both"/>
              <w:rPr>
                <w:rFonts w:ascii="Calibri" w:hAnsi="Calibri" w:cs="Calibri"/>
                <w:color w:val="0000FF"/>
              </w:rPr>
            </w:pPr>
            <w:r>
              <w:rPr>
                <w:rFonts w:ascii="Calibri" w:hAnsi="Calibri" w:cs="Calibri"/>
                <w:color w:val="0000FF"/>
              </w:rPr>
              <w:lastRenderedPageBreak/>
              <w:t>Д</w:t>
            </w:r>
            <w:r w:rsidRPr="00E44D83">
              <w:rPr>
                <w:rFonts w:ascii="Calibri" w:hAnsi="Calibri" w:cs="Calibri"/>
                <w:color w:val="0000FF"/>
              </w:rPr>
              <w:t>ополнить подпунктом следующего содержания:</w:t>
            </w:r>
          </w:p>
          <w:p w:rsidR="00410F11" w:rsidRPr="00E44D83" w:rsidRDefault="00410F11" w:rsidP="00410F11">
            <w:pPr>
              <w:jc w:val="both"/>
              <w:rPr>
                <w:rFonts w:ascii="Calibri" w:hAnsi="Calibri" w:cs="Calibri"/>
                <w:color w:val="0000FF"/>
              </w:rPr>
            </w:pPr>
            <w:r w:rsidRPr="00E44D83">
              <w:rPr>
                <w:rFonts w:ascii="Calibri" w:hAnsi="Calibri" w:cs="Calibri"/>
                <w:color w:val="0000FF"/>
              </w:rPr>
              <w:t xml:space="preserve">3) на основании решения общего собрания собственников помещений в МКД выбрали способ расчетов </w:t>
            </w:r>
            <w:r w:rsidR="00C309AE">
              <w:rPr>
                <w:rFonts w:ascii="Calibri" w:hAnsi="Calibri" w:cs="Calibri"/>
                <w:color w:val="0000FF"/>
              </w:rPr>
              <w:t xml:space="preserve"> и (или) внесения платы </w:t>
            </w:r>
            <w:r w:rsidRPr="00E44D83">
              <w:rPr>
                <w:rFonts w:ascii="Calibri" w:hAnsi="Calibri" w:cs="Calibri"/>
                <w:color w:val="0000FF"/>
              </w:rPr>
              <w:t>за потребленную теплову</w:t>
            </w:r>
            <w:r w:rsidR="00C309AE">
              <w:rPr>
                <w:rFonts w:ascii="Calibri" w:hAnsi="Calibri" w:cs="Calibri"/>
                <w:color w:val="0000FF"/>
              </w:rPr>
              <w:t xml:space="preserve">ю энергию и (или) теплоноситель, в т.ч. </w:t>
            </w:r>
            <w:r w:rsidR="00C309AE" w:rsidRPr="00C309AE">
              <w:rPr>
                <w:rFonts w:ascii="Calibri" w:hAnsi="Calibri" w:cs="Calibri"/>
                <w:color w:val="0000FF"/>
              </w:rPr>
              <w:t>потребляемые при использовании общего имущества многоквартирного дома</w:t>
            </w:r>
            <w:r w:rsidR="00C309AE">
              <w:rPr>
                <w:rFonts w:ascii="Calibri" w:hAnsi="Calibri" w:cs="Calibri"/>
                <w:color w:val="0000FF"/>
              </w:rPr>
              <w:t>,</w:t>
            </w:r>
            <w:r w:rsidR="00C309AE" w:rsidRPr="00C309AE">
              <w:rPr>
                <w:rFonts w:ascii="Calibri" w:hAnsi="Calibri" w:cs="Calibri"/>
                <w:color w:val="0000FF"/>
              </w:rPr>
              <w:t xml:space="preserve"> </w:t>
            </w:r>
            <w:r w:rsidRPr="00E44D83">
              <w:rPr>
                <w:rFonts w:ascii="Calibri" w:hAnsi="Calibri" w:cs="Calibri"/>
                <w:color w:val="0000FF"/>
              </w:rPr>
              <w:t>непосредственно с РСО.</w:t>
            </w:r>
          </w:p>
          <w:p w:rsidR="00410F11" w:rsidRDefault="00410F11" w:rsidP="00410F11">
            <w:pPr>
              <w:autoSpaceDE w:val="0"/>
              <w:autoSpaceDN w:val="0"/>
              <w:adjustRightInd w:val="0"/>
              <w:ind w:firstLine="540"/>
              <w:jc w:val="both"/>
              <w:rPr>
                <w:rFonts w:ascii="Calibri" w:hAnsi="Calibri" w:cs="Calibri"/>
              </w:rPr>
            </w:pPr>
          </w:p>
          <w:p w:rsidR="00410F11" w:rsidRPr="00410F11" w:rsidRDefault="00410F11" w:rsidP="00410F11">
            <w:pPr>
              <w:widowControl w:val="0"/>
              <w:autoSpaceDE w:val="0"/>
              <w:autoSpaceDN w:val="0"/>
              <w:adjustRightInd w:val="0"/>
              <w:ind w:firstLine="540"/>
              <w:jc w:val="both"/>
              <w:rPr>
                <w:rFonts w:ascii="Calibri" w:hAnsi="Calibri" w:cs="Calibri"/>
              </w:rPr>
            </w:pPr>
          </w:p>
        </w:tc>
      </w:tr>
      <w:tr w:rsidR="00410F11" w:rsidRPr="00410F11" w:rsidTr="00D74737">
        <w:tc>
          <w:tcPr>
            <w:tcW w:w="775" w:type="dxa"/>
          </w:tcPr>
          <w:p w:rsidR="00410F11" w:rsidRPr="00410F11" w:rsidRDefault="00410F11" w:rsidP="00410F11">
            <w:pPr>
              <w:jc w:val="center"/>
              <w:rPr>
                <w:rFonts w:ascii="Times New Roman" w:hAnsi="Times New Roman" w:cs="Times New Roman"/>
              </w:rPr>
            </w:pPr>
          </w:p>
        </w:tc>
        <w:tc>
          <w:tcPr>
            <w:tcW w:w="2186" w:type="dxa"/>
          </w:tcPr>
          <w:p w:rsidR="00410F11" w:rsidRPr="00410F11" w:rsidRDefault="00410F11" w:rsidP="00410F11">
            <w:pPr>
              <w:jc w:val="center"/>
              <w:rPr>
                <w:rFonts w:ascii="Times New Roman" w:hAnsi="Times New Roman" w:cs="Times New Roman"/>
              </w:rPr>
            </w:pPr>
          </w:p>
        </w:tc>
        <w:tc>
          <w:tcPr>
            <w:tcW w:w="3186" w:type="dxa"/>
            <w:gridSpan w:val="3"/>
          </w:tcPr>
          <w:p w:rsidR="00410F11" w:rsidRPr="00410F11" w:rsidRDefault="00410F11" w:rsidP="00410F11">
            <w:pPr>
              <w:autoSpaceDE w:val="0"/>
              <w:autoSpaceDN w:val="0"/>
              <w:adjustRightInd w:val="0"/>
              <w:ind w:firstLine="540"/>
              <w:jc w:val="center"/>
              <w:rPr>
                <w:rFonts w:ascii="Calibri" w:hAnsi="Calibri" w:cs="Calibri"/>
                <w:color w:val="0000FF"/>
              </w:rPr>
            </w:pPr>
            <w:r w:rsidRPr="00410F11">
              <w:t>Жилищный кодекс РФ</w:t>
            </w:r>
          </w:p>
          <w:p w:rsidR="00410F11" w:rsidRPr="00410F11" w:rsidRDefault="00410F11" w:rsidP="00410F11">
            <w:pPr>
              <w:jc w:val="center"/>
              <w:rPr>
                <w:rFonts w:ascii="Times New Roman" w:hAnsi="Times New Roman" w:cs="Times New Roman"/>
              </w:rPr>
            </w:pPr>
          </w:p>
        </w:tc>
        <w:tc>
          <w:tcPr>
            <w:tcW w:w="4382" w:type="dxa"/>
          </w:tcPr>
          <w:p w:rsidR="00C97808" w:rsidRDefault="00C97808" w:rsidP="00C97808">
            <w:pPr>
              <w:jc w:val="both"/>
              <w:rPr>
                <w:rFonts w:ascii="Calibri" w:hAnsi="Calibri" w:cs="Calibri"/>
              </w:rPr>
            </w:pPr>
            <w:r w:rsidRPr="00A565A3">
              <w:rPr>
                <w:rFonts w:ascii="Calibri" w:hAnsi="Calibri" w:cs="Calibri"/>
              </w:rPr>
              <w:t xml:space="preserve">6.3. </w:t>
            </w:r>
            <w:proofErr w:type="gramStart"/>
            <w:r w:rsidRPr="00A565A3">
              <w:rPr>
                <w:rFonts w:ascii="Calibri" w:hAnsi="Calibri" w:cs="Calibri"/>
              </w:rP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w:t>
            </w:r>
            <w:r>
              <w:rPr>
                <w:rFonts w:ascii="Calibri" w:hAnsi="Calibri" w:cs="Calibri"/>
              </w:rPr>
              <w:t xml:space="preserve">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r w:rsidRPr="00A565A3">
              <w:rPr>
                <w:rFonts w:ascii="Calibri" w:hAnsi="Calibri" w:cs="Calibri"/>
                <w:strike/>
              </w:rPr>
              <w:t>(за исключением коммунальных услуг, потребляемых при использовании общего</w:t>
            </w:r>
            <w:proofErr w:type="gramEnd"/>
            <w:r w:rsidRPr="00A565A3">
              <w:rPr>
                <w:rFonts w:ascii="Calibri" w:hAnsi="Calibri" w:cs="Calibri"/>
                <w:strike/>
              </w:rPr>
              <w:t xml:space="preserve"> имущества в многоквартирном доме)</w:t>
            </w:r>
            <w:r>
              <w:rPr>
                <w:rFonts w:ascii="Calibri" w:hAnsi="Calibri" w:cs="Calibri"/>
              </w:rPr>
              <w:t xml:space="preserve"> </w:t>
            </w:r>
            <w:proofErr w:type="spellStart"/>
            <w:r>
              <w:rPr>
                <w:rFonts w:ascii="Calibri" w:hAnsi="Calibri" w:cs="Calibri"/>
              </w:rPr>
              <w:t>ресурсоснабжающим</w:t>
            </w:r>
            <w:proofErr w:type="spellEnd"/>
            <w:r>
              <w:rPr>
                <w:rFonts w:ascii="Calibri" w:hAnsi="Calibri" w:cs="Calibri"/>
              </w:rPr>
              <w:t xml:space="preserve"> организациям.</w:t>
            </w:r>
          </w:p>
          <w:p w:rsidR="00C97808" w:rsidRDefault="00C97808" w:rsidP="00C97808">
            <w:pPr>
              <w:jc w:val="both"/>
              <w:rPr>
                <w:rFonts w:ascii="Calibri" w:hAnsi="Calibri" w:cs="Calibri"/>
              </w:rPr>
            </w:pPr>
          </w:p>
          <w:p w:rsidR="00C309AE" w:rsidRDefault="00C309AE" w:rsidP="00C97808">
            <w:pPr>
              <w:jc w:val="both"/>
              <w:rPr>
                <w:rFonts w:ascii="Calibri" w:hAnsi="Calibri" w:cs="Calibri"/>
              </w:rPr>
            </w:pPr>
          </w:p>
          <w:p w:rsidR="00C309AE" w:rsidRDefault="00C309AE" w:rsidP="00C97808">
            <w:pPr>
              <w:jc w:val="both"/>
              <w:rPr>
                <w:rFonts w:ascii="Calibri" w:hAnsi="Calibri" w:cs="Calibri"/>
              </w:rPr>
            </w:pPr>
          </w:p>
          <w:p w:rsidR="00C309AE" w:rsidRDefault="00C309AE" w:rsidP="00C97808">
            <w:pPr>
              <w:jc w:val="both"/>
              <w:rPr>
                <w:rFonts w:ascii="Calibri" w:hAnsi="Calibri" w:cs="Calibri"/>
              </w:rPr>
            </w:pPr>
          </w:p>
          <w:p w:rsidR="00C97808" w:rsidRDefault="00C97808" w:rsidP="00C97808">
            <w:pPr>
              <w:jc w:val="both"/>
              <w:rPr>
                <w:rFonts w:ascii="Calibri" w:hAnsi="Calibri" w:cs="Calibri"/>
              </w:rPr>
            </w:pPr>
            <w:r>
              <w:rPr>
                <w:rFonts w:ascii="Calibri" w:hAnsi="Calibri" w:cs="Calibri"/>
              </w:rPr>
              <w:t xml:space="preserve">7.1. </w:t>
            </w:r>
            <w:proofErr w:type="gramStart"/>
            <w:r>
              <w:rPr>
                <w:rFonts w:ascii="Calibri" w:hAnsi="Calibri" w:cs="Calibri"/>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r w:rsidRPr="00DB5AD4">
              <w:rPr>
                <w:rFonts w:ascii="Calibri" w:hAnsi="Calibri" w:cs="Calibri"/>
                <w:strike/>
              </w:rPr>
              <w:t xml:space="preserve">(за исключением </w:t>
            </w:r>
            <w:r w:rsidRPr="00DB5AD4">
              <w:rPr>
                <w:rFonts w:ascii="Calibri" w:hAnsi="Calibri" w:cs="Calibri"/>
                <w:strike/>
              </w:rPr>
              <w:lastRenderedPageBreak/>
              <w:t>коммунальных услуг, потребляемых при использовании общего имущества в многоквартирном доме)</w:t>
            </w:r>
            <w:r>
              <w:rPr>
                <w:rFonts w:ascii="Calibri" w:hAnsi="Calibri" w:cs="Calibri"/>
              </w:rPr>
              <w:t xml:space="preserve"> </w:t>
            </w:r>
            <w:proofErr w:type="spellStart"/>
            <w:r>
              <w:rPr>
                <w:rFonts w:ascii="Calibri" w:hAnsi="Calibri" w:cs="Calibri"/>
              </w:rPr>
              <w:t>ресурсоснабжающим</w:t>
            </w:r>
            <w:proofErr w:type="spellEnd"/>
            <w:r>
              <w:rPr>
                <w:rFonts w:ascii="Calibri" w:hAnsi="Calibri" w:cs="Calibri"/>
              </w:rPr>
              <w:t xml:space="preserve"> организациям.</w:t>
            </w:r>
            <w:proofErr w:type="gramEnd"/>
            <w:r>
              <w:rPr>
                <w:rFonts w:ascii="Calibri" w:hAnsi="Calibri" w:cs="Calibri"/>
              </w:rPr>
              <w:t xml:space="preserve"> </w:t>
            </w:r>
            <w:proofErr w:type="gramStart"/>
            <w:r>
              <w:rPr>
                <w:rFonts w:ascii="Calibri" w:hAnsi="Calibri" w:cs="Calibri"/>
              </w:rPr>
              <w:t xml:space="preserve">При этом внесение платы за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Pr>
                <w:rFonts w:ascii="Calibri" w:hAnsi="Calibri" w:cs="Calibri"/>
              </w:rPr>
              <w:t xml:space="preserve"> качества.</w:t>
            </w:r>
          </w:p>
          <w:p w:rsidR="00C97808" w:rsidRDefault="00C97808" w:rsidP="00C97808">
            <w:pPr>
              <w:autoSpaceDE w:val="0"/>
              <w:autoSpaceDN w:val="0"/>
              <w:adjustRightInd w:val="0"/>
              <w:ind w:firstLine="540"/>
              <w:jc w:val="both"/>
              <w:outlineLvl w:val="0"/>
              <w:rPr>
                <w:rFonts w:ascii="Calibri" w:hAnsi="Calibri" w:cs="Calibri"/>
              </w:rPr>
            </w:pPr>
          </w:p>
          <w:p w:rsidR="00D74737" w:rsidRDefault="00D74737" w:rsidP="00C97808">
            <w:pPr>
              <w:autoSpaceDE w:val="0"/>
              <w:autoSpaceDN w:val="0"/>
              <w:adjustRightInd w:val="0"/>
              <w:ind w:firstLine="540"/>
              <w:jc w:val="both"/>
              <w:outlineLvl w:val="0"/>
              <w:rPr>
                <w:rFonts w:ascii="Calibri" w:hAnsi="Calibri" w:cs="Calibri"/>
              </w:rPr>
            </w:pPr>
          </w:p>
          <w:p w:rsidR="00C97808" w:rsidRDefault="00C97808" w:rsidP="00C97808">
            <w:pPr>
              <w:autoSpaceDE w:val="0"/>
              <w:autoSpaceDN w:val="0"/>
              <w:adjustRightInd w:val="0"/>
              <w:ind w:firstLine="540"/>
              <w:jc w:val="both"/>
              <w:outlineLvl w:val="0"/>
              <w:rPr>
                <w:rFonts w:ascii="Calibri" w:hAnsi="Calibri" w:cs="Calibri"/>
              </w:rPr>
            </w:pPr>
            <w:r>
              <w:rPr>
                <w:rFonts w:ascii="Calibri" w:hAnsi="Calibri" w:cs="Calibri"/>
              </w:rPr>
              <w:t>Статья 44. Общее собрание собственников помещений в многоквартирном доме</w:t>
            </w:r>
          </w:p>
          <w:p w:rsidR="00C97808" w:rsidRPr="00FD37C1" w:rsidRDefault="00C97808" w:rsidP="00C97808">
            <w:pPr>
              <w:autoSpaceDE w:val="0"/>
              <w:autoSpaceDN w:val="0"/>
              <w:adjustRightInd w:val="0"/>
              <w:ind w:firstLine="540"/>
              <w:jc w:val="both"/>
              <w:rPr>
                <w:rFonts w:ascii="Calibri" w:hAnsi="Calibri" w:cs="Calibri"/>
                <w:bCs/>
              </w:rPr>
            </w:pPr>
            <w:r w:rsidRPr="00FD37C1">
              <w:rPr>
                <w:rFonts w:ascii="Calibri" w:hAnsi="Calibri" w:cs="Calibri"/>
                <w:bCs/>
              </w:rPr>
              <w:t>1. Общее собрание собственников помещений в многоквартирном доме является органом управления многоквартирным домом.</w:t>
            </w:r>
          </w:p>
          <w:p w:rsidR="00C97808" w:rsidRDefault="00C97808" w:rsidP="00C97808">
            <w:pPr>
              <w:jc w:val="both"/>
              <w:rPr>
                <w:rFonts w:ascii="Calibri" w:hAnsi="Calibri" w:cs="Calibri"/>
              </w:rPr>
            </w:pPr>
            <w:r w:rsidRPr="00FD37C1">
              <w:rPr>
                <w:rFonts w:ascii="Calibri" w:hAnsi="Calibri" w:cs="Calibri"/>
              </w:rPr>
              <w:t>2. К компетенции общего собрания собственников помещений в многоквартирном доме относятся:</w:t>
            </w:r>
          </w:p>
          <w:p w:rsidR="00D74737" w:rsidRDefault="00D74737" w:rsidP="00C97808">
            <w:pPr>
              <w:autoSpaceDE w:val="0"/>
              <w:autoSpaceDN w:val="0"/>
              <w:adjustRightInd w:val="0"/>
              <w:ind w:firstLine="540"/>
              <w:jc w:val="both"/>
              <w:outlineLvl w:val="0"/>
              <w:rPr>
                <w:rFonts w:ascii="Calibri" w:hAnsi="Calibri" w:cs="Calibri"/>
              </w:rPr>
            </w:pPr>
          </w:p>
          <w:p w:rsidR="00C97808" w:rsidRPr="00FD37C1" w:rsidRDefault="00C97808" w:rsidP="00C97808">
            <w:pPr>
              <w:autoSpaceDE w:val="0"/>
              <w:autoSpaceDN w:val="0"/>
              <w:adjustRightInd w:val="0"/>
              <w:ind w:firstLine="540"/>
              <w:jc w:val="both"/>
              <w:outlineLvl w:val="0"/>
              <w:rPr>
                <w:rFonts w:ascii="Calibri" w:hAnsi="Calibri" w:cs="Calibri"/>
              </w:rPr>
            </w:pPr>
            <w:r>
              <w:rPr>
                <w:rFonts w:ascii="Calibri" w:hAnsi="Calibri" w:cs="Calibri"/>
              </w:rPr>
              <w:t>…</w:t>
            </w:r>
          </w:p>
          <w:p w:rsidR="00C97808" w:rsidRDefault="00C97808" w:rsidP="00C97808">
            <w:pPr>
              <w:autoSpaceDE w:val="0"/>
              <w:autoSpaceDN w:val="0"/>
              <w:adjustRightInd w:val="0"/>
              <w:ind w:firstLine="540"/>
              <w:jc w:val="both"/>
              <w:outlineLvl w:val="0"/>
              <w:rPr>
                <w:rFonts w:ascii="Calibri" w:hAnsi="Calibri" w:cs="Calibri"/>
              </w:rPr>
            </w:pPr>
            <w:r w:rsidRPr="00FD37C1">
              <w:rPr>
                <w:rFonts w:ascii="Calibri" w:hAnsi="Calibri" w:cs="Calibri"/>
              </w:rPr>
              <w:t>5) другие вопросы, отнесенные настоящим Кодексом к компетенции общего собрания собственников</w:t>
            </w:r>
            <w:r>
              <w:rPr>
                <w:rFonts w:ascii="Calibri" w:hAnsi="Calibri" w:cs="Calibri"/>
              </w:rPr>
              <w:t xml:space="preserve"> помещений в многоквартирном доме.</w:t>
            </w:r>
          </w:p>
          <w:p w:rsidR="00C97808" w:rsidRDefault="00C97808" w:rsidP="00C97808">
            <w:pPr>
              <w:jc w:val="both"/>
              <w:rPr>
                <w:rFonts w:ascii="Calibri" w:hAnsi="Calibri" w:cs="Calibri"/>
              </w:rPr>
            </w:pPr>
          </w:p>
          <w:p w:rsidR="00C97808" w:rsidRDefault="00C97808" w:rsidP="00C97808">
            <w:pPr>
              <w:autoSpaceDE w:val="0"/>
              <w:autoSpaceDN w:val="0"/>
              <w:adjustRightInd w:val="0"/>
              <w:ind w:firstLine="540"/>
              <w:jc w:val="both"/>
              <w:rPr>
                <w:rFonts w:ascii="Calibri" w:hAnsi="Calibri" w:cs="Calibri"/>
              </w:rPr>
            </w:pPr>
          </w:p>
          <w:p w:rsidR="00410F11" w:rsidRPr="00410F11" w:rsidRDefault="00410F11" w:rsidP="00410F11">
            <w:pPr>
              <w:widowControl w:val="0"/>
              <w:autoSpaceDE w:val="0"/>
              <w:autoSpaceDN w:val="0"/>
              <w:adjustRightInd w:val="0"/>
              <w:ind w:firstLine="540"/>
              <w:jc w:val="both"/>
              <w:rPr>
                <w:rFonts w:ascii="Calibri" w:hAnsi="Calibri" w:cs="Calibri"/>
              </w:rPr>
            </w:pPr>
          </w:p>
        </w:tc>
        <w:tc>
          <w:tcPr>
            <w:tcW w:w="4463" w:type="dxa"/>
          </w:tcPr>
          <w:p w:rsidR="00C97808" w:rsidRDefault="00C97808" w:rsidP="00C97808">
            <w:pPr>
              <w:jc w:val="both"/>
              <w:rPr>
                <w:rFonts w:ascii="Calibri" w:hAnsi="Calibri" w:cs="Calibri"/>
              </w:rPr>
            </w:pPr>
            <w:r w:rsidRPr="00A565A3">
              <w:rPr>
                <w:rFonts w:ascii="Calibri" w:hAnsi="Calibri" w:cs="Calibri"/>
              </w:rPr>
              <w:lastRenderedPageBreak/>
              <w:t xml:space="preserve">6.3. </w:t>
            </w:r>
            <w:proofErr w:type="gramStart"/>
            <w:r w:rsidRPr="00A565A3">
              <w:rPr>
                <w:rFonts w:ascii="Calibri" w:hAnsi="Calibri" w:cs="Calibri"/>
              </w:rP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производить расчеты </w:t>
            </w:r>
            <w:r w:rsidR="00C309AE">
              <w:rPr>
                <w:rFonts w:ascii="Calibri" w:hAnsi="Calibri" w:cs="Calibri"/>
              </w:rPr>
              <w:t xml:space="preserve">и (или) вносить плату </w:t>
            </w:r>
            <w:r w:rsidRPr="00A565A3">
              <w:rPr>
                <w:rFonts w:ascii="Calibri" w:hAnsi="Calibri" w:cs="Calibri"/>
              </w:rPr>
              <w:t>за все или некоторые коммунальные услуги, потребляемые в жилом или</w:t>
            </w:r>
            <w:proofErr w:type="gramEnd"/>
            <w:r w:rsidRPr="00A565A3">
              <w:rPr>
                <w:rFonts w:ascii="Calibri" w:hAnsi="Calibri" w:cs="Calibri"/>
              </w:rPr>
              <w:t xml:space="preserve"> нежилом </w:t>
            </w:r>
            <w:proofErr w:type="gramStart"/>
            <w:r w:rsidRPr="00A565A3">
              <w:rPr>
                <w:rFonts w:ascii="Calibri" w:hAnsi="Calibri" w:cs="Calibri"/>
              </w:rPr>
              <w:t>помещении</w:t>
            </w:r>
            <w:proofErr w:type="gramEnd"/>
            <w:r w:rsidRPr="00A565A3">
              <w:rPr>
                <w:rFonts w:ascii="Calibri" w:hAnsi="Calibri" w:cs="Calibri"/>
              </w:rPr>
              <w:t xml:space="preserve">, а также коммунальные услуги, потребленные при использовании общего имущества в многоквартирном доме, непосредственно с </w:t>
            </w:r>
            <w:proofErr w:type="spellStart"/>
            <w:r w:rsidRPr="00A565A3">
              <w:rPr>
                <w:rFonts w:ascii="Calibri" w:hAnsi="Calibri" w:cs="Calibri"/>
              </w:rPr>
              <w:t>ресурсоснабжающими</w:t>
            </w:r>
            <w:proofErr w:type="spellEnd"/>
            <w:r w:rsidRPr="00A565A3">
              <w:rPr>
                <w:rFonts w:ascii="Calibri" w:hAnsi="Calibri" w:cs="Calibri"/>
              </w:rPr>
              <w:t xml:space="preserve"> организациями. </w:t>
            </w:r>
          </w:p>
          <w:p w:rsidR="00C97808" w:rsidRPr="00A565A3" w:rsidRDefault="00C97808" w:rsidP="00C97808">
            <w:pPr>
              <w:jc w:val="both"/>
              <w:rPr>
                <w:rFonts w:ascii="Calibri" w:hAnsi="Calibri" w:cs="Calibri"/>
              </w:rPr>
            </w:pPr>
            <w:r w:rsidRPr="00A565A3">
              <w:rPr>
                <w:rFonts w:ascii="Calibri" w:hAnsi="Calibri" w:cs="Calibri"/>
              </w:rPr>
              <w:t>Далее по тексту.</w:t>
            </w:r>
          </w:p>
          <w:p w:rsidR="00C97808" w:rsidRDefault="00C97808" w:rsidP="00C97808">
            <w:pPr>
              <w:autoSpaceDE w:val="0"/>
              <w:autoSpaceDN w:val="0"/>
              <w:adjustRightInd w:val="0"/>
              <w:ind w:firstLine="540"/>
              <w:jc w:val="both"/>
              <w:rPr>
                <w:rFonts w:ascii="Calibri" w:hAnsi="Calibri" w:cs="Calibri"/>
              </w:rPr>
            </w:pPr>
          </w:p>
          <w:p w:rsidR="00C97808" w:rsidRDefault="00C97808" w:rsidP="00C97808">
            <w:pPr>
              <w:autoSpaceDE w:val="0"/>
              <w:autoSpaceDN w:val="0"/>
              <w:adjustRightInd w:val="0"/>
              <w:jc w:val="both"/>
              <w:rPr>
                <w:rFonts w:ascii="Calibri" w:hAnsi="Calibri" w:cs="Calibri"/>
              </w:rPr>
            </w:pPr>
            <w:r>
              <w:rPr>
                <w:rFonts w:ascii="Calibri" w:hAnsi="Calibri" w:cs="Calibri"/>
              </w:rPr>
              <w:t xml:space="preserve">7.1. </w:t>
            </w:r>
            <w:proofErr w:type="gramStart"/>
            <w:r>
              <w:rPr>
                <w:rFonts w:ascii="Calibri" w:hAnsi="Calibri" w:cs="Calibri"/>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w:t>
            </w:r>
            <w:r w:rsidR="00C309AE">
              <w:rPr>
                <w:rFonts w:ascii="Calibri" w:hAnsi="Calibri" w:cs="Calibri"/>
              </w:rPr>
              <w:t xml:space="preserve">производить расчеты и (или) </w:t>
            </w:r>
            <w:r>
              <w:rPr>
                <w:rFonts w:ascii="Calibri" w:hAnsi="Calibri" w:cs="Calibri"/>
              </w:rPr>
              <w:t>вносить плату за все или некоторые коммунальные услуги</w:t>
            </w:r>
            <w:r w:rsidR="00C309AE">
              <w:rPr>
                <w:rFonts w:ascii="Calibri" w:hAnsi="Calibri" w:cs="Calibri"/>
              </w:rPr>
              <w:t xml:space="preserve">, </w:t>
            </w:r>
            <w:r w:rsidR="00C309AE">
              <w:rPr>
                <w:rFonts w:ascii="Calibri" w:hAnsi="Calibri" w:cs="Calibri"/>
              </w:rPr>
              <w:lastRenderedPageBreak/>
              <w:t>в т.ч. потребляемые при использовании общего имущества в многоквартирном доме</w:t>
            </w:r>
            <w:proofErr w:type="gramEnd"/>
            <w:r w:rsidR="00C309AE">
              <w:rPr>
                <w:rFonts w:ascii="Calibri" w:hAnsi="Calibri" w:cs="Calibri"/>
              </w:rPr>
              <w:t xml:space="preserve">, непосредственно </w:t>
            </w:r>
            <w:r>
              <w:rPr>
                <w:rFonts w:ascii="Calibri" w:hAnsi="Calibri" w:cs="Calibri"/>
              </w:rPr>
              <w:t xml:space="preserve"> </w:t>
            </w:r>
            <w:proofErr w:type="spellStart"/>
            <w:r>
              <w:rPr>
                <w:rFonts w:ascii="Calibri" w:hAnsi="Calibri" w:cs="Calibri"/>
              </w:rPr>
              <w:t>ресурсоснабжающим</w:t>
            </w:r>
            <w:proofErr w:type="spellEnd"/>
            <w:r>
              <w:rPr>
                <w:rFonts w:ascii="Calibri" w:hAnsi="Calibri" w:cs="Calibri"/>
              </w:rPr>
              <w:t xml:space="preserve"> организациям. </w:t>
            </w:r>
            <w:proofErr w:type="gramStart"/>
            <w:r>
              <w:rPr>
                <w:rFonts w:ascii="Calibri" w:hAnsi="Calibri" w:cs="Calibri"/>
              </w:rPr>
              <w:t xml:space="preserve">При этом внесение платы за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Pr>
                <w:rFonts w:ascii="Calibri" w:hAnsi="Calibri" w:cs="Calibri"/>
              </w:rPr>
              <w:t xml:space="preserve"> качества.</w:t>
            </w:r>
          </w:p>
          <w:p w:rsidR="00C97808" w:rsidRDefault="00C97808" w:rsidP="00C97808">
            <w:pPr>
              <w:autoSpaceDE w:val="0"/>
              <w:autoSpaceDN w:val="0"/>
              <w:adjustRightInd w:val="0"/>
              <w:ind w:firstLine="540"/>
              <w:jc w:val="both"/>
              <w:rPr>
                <w:rFonts w:ascii="Calibri" w:hAnsi="Calibri" w:cs="Calibri"/>
              </w:rPr>
            </w:pPr>
          </w:p>
          <w:p w:rsidR="00410F11" w:rsidRDefault="00410F11" w:rsidP="00410F11">
            <w:pPr>
              <w:widowControl w:val="0"/>
              <w:autoSpaceDE w:val="0"/>
              <w:autoSpaceDN w:val="0"/>
              <w:adjustRightInd w:val="0"/>
              <w:ind w:firstLine="540"/>
              <w:jc w:val="both"/>
              <w:rPr>
                <w:rFonts w:ascii="Calibri" w:hAnsi="Calibri" w:cs="Calibri"/>
              </w:rPr>
            </w:pPr>
          </w:p>
          <w:p w:rsidR="00C97808" w:rsidRPr="00FD37C1" w:rsidRDefault="00C97808" w:rsidP="00C97808">
            <w:pPr>
              <w:autoSpaceDE w:val="0"/>
              <w:autoSpaceDN w:val="0"/>
              <w:adjustRightInd w:val="0"/>
              <w:ind w:firstLine="540"/>
              <w:jc w:val="both"/>
              <w:outlineLvl w:val="0"/>
              <w:rPr>
                <w:rFonts w:ascii="Calibri" w:hAnsi="Calibri" w:cs="Calibri"/>
              </w:rPr>
            </w:pPr>
            <w:r w:rsidRPr="00FD37C1">
              <w:rPr>
                <w:rFonts w:ascii="Calibri" w:hAnsi="Calibri" w:cs="Calibri"/>
              </w:rPr>
              <w:t>Статья 44. Общее собрание собственников помещений в многоквартирном доме</w:t>
            </w:r>
          </w:p>
          <w:p w:rsidR="00C97808" w:rsidRPr="00FD37C1" w:rsidRDefault="00C97808" w:rsidP="00C97808">
            <w:pPr>
              <w:autoSpaceDE w:val="0"/>
              <w:autoSpaceDN w:val="0"/>
              <w:adjustRightInd w:val="0"/>
              <w:ind w:firstLine="540"/>
              <w:jc w:val="both"/>
              <w:rPr>
                <w:rFonts w:ascii="Calibri" w:hAnsi="Calibri" w:cs="Calibri"/>
                <w:bCs/>
              </w:rPr>
            </w:pPr>
            <w:r w:rsidRPr="00FD37C1">
              <w:rPr>
                <w:rFonts w:ascii="Calibri" w:hAnsi="Calibri" w:cs="Calibri"/>
                <w:bCs/>
              </w:rPr>
              <w:t>1. Общее собрание собственников помещений в многоквартирном доме является органом управления многоквартирным домом.</w:t>
            </w:r>
          </w:p>
          <w:p w:rsidR="00C97808" w:rsidRDefault="00C97808" w:rsidP="00C97808">
            <w:pPr>
              <w:widowControl w:val="0"/>
              <w:autoSpaceDE w:val="0"/>
              <w:autoSpaceDN w:val="0"/>
              <w:adjustRightInd w:val="0"/>
              <w:ind w:firstLine="540"/>
              <w:jc w:val="both"/>
              <w:rPr>
                <w:rFonts w:ascii="Calibri" w:hAnsi="Calibri" w:cs="Calibri"/>
              </w:rPr>
            </w:pPr>
            <w:r w:rsidRPr="00FD37C1">
              <w:rPr>
                <w:rFonts w:ascii="Calibri" w:hAnsi="Calibri" w:cs="Calibri"/>
              </w:rPr>
              <w:t>2. К компетенции общего собрания собственников помещений в многоквартирном доме относятся:</w:t>
            </w:r>
          </w:p>
          <w:p w:rsidR="00C97808" w:rsidRDefault="00C97808" w:rsidP="00C97808">
            <w:pPr>
              <w:widowControl w:val="0"/>
              <w:autoSpaceDE w:val="0"/>
              <w:autoSpaceDN w:val="0"/>
              <w:adjustRightInd w:val="0"/>
              <w:ind w:firstLine="540"/>
              <w:jc w:val="both"/>
              <w:rPr>
                <w:rFonts w:ascii="Calibri" w:hAnsi="Calibri" w:cs="Calibri"/>
              </w:rPr>
            </w:pPr>
          </w:p>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rPr>
              <w:t>…</w:t>
            </w:r>
          </w:p>
          <w:p w:rsidR="00C97808" w:rsidRDefault="00C97808" w:rsidP="00C97808">
            <w:pPr>
              <w:autoSpaceDE w:val="0"/>
              <w:autoSpaceDN w:val="0"/>
              <w:adjustRightInd w:val="0"/>
              <w:ind w:firstLine="540"/>
              <w:jc w:val="both"/>
              <w:outlineLvl w:val="0"/>
              <w:rPr>
                <w:rFonts w:ascii="Calibri" w:hAnsi="Calibri" w:cs="Calibri"/>
                <w:color w:val="0000FF"/>
              </w:rPr>
            </w:pPr>
            <w:r>
              <w:rPr>
                <w:rFonts w:ascii="Calibri" w:hAnsi="Calibri" w:cs="Calibri"/>
                <w:color w:val="0000FF"/>
              </w:rPr>
              <w:t xml:space="preserve">5) </w:t>
            </w:r>
            <w:r w:rsidRPr="002B64B3">
              <w:rPr>
                <w:rFonts w:ascii="Calibri" w:hAnsi="Calibri" w:cs="Calibri"/>
                <w:color w:val="0000FF"/>
              </w:rPr>
              <w:t>Принятие решений о выборе способа расчетов за потребленные коммунальные услуги, в том числе потребл</w:t>
            </w:r>
            <w:r w:rsidR="00D74737">
              <w:rPr>
                <w:rFonts w:ascii="Calibri" w:hAnsi="Calibri" w:cs="Calibri"/>
                <w:color w:val="0000FF"/>
              </w:rPr>
              <w:t>яемые</w:t>
            </w:r>
            <w:r w:rsidRPr="002B64B3">
              <w:rPr>
                <w:rFonts w:ascii="Calibri" w:hAnsi="Calibri" w:cs="Calibri"/>
                <w:color w:val="0000FF"/>
              </w:rPr>
              <w:t xml:space="preserve"> </w:t>
            </w:r>
            <w:r w:rsidR="00D74737">
              <w:rPr>
                <w:rFonts w:ascii="Calibri" w:hAnsi="Calibri" w:cs="Calibri"/>
                <w:color w:val="0000FF"/>
              </w:rPr>
              <w:t>при использовании общего имущества</w:t>
            </w:r>
            <w:r w:rsidRPr="002B64B3">
              <w:rPr>
                <w:rFonts w:ascii="Calibri" w:hAnsi="Calibri" w:cs="Calibri"/>
                <w:color w:val="0000FF"/>
              </w:rPr>
              <w:t>, непосредственно с РСО.</w:t>
            </w:r>
          </w:p>
          <w:p w:rsidR="00C97808" w:rsidRPr="00410F11" w:rsidRDefault="00C97808" w:rsidP="00C97808">
            <w:pPr>
              <w:autoSpaceDE w:val="0"/>
              <w:autoSpaceDN w:val="0"/>
              <w:adjustRightInd w:val="0"/>
              <w:ind w:firstLine="540"/>
              <w:jc w:val="both"/>
              <w:outlineLvl w:val="0"/>
              <w:rPr>
                <w:rFonts w:ascii="Calibri" w:hAnsi="Calibri" w:cs="Calibri"/>
              </w:rPr>
            </w:pPr>
            <w:r w:rsidRPr="00FD37C1">
              <w:rPr>
                <w:rFonts w:ascii="Calibri" w:hAnsi="Calibri" w:cs="Calibri"/>
                <w:color w:val="0000FF"/>
              </w:rPr>
              <w:lastRenderedPageBreak/>
              <w:t>6)</w:t>
            </w:r>
            <w:r>
              <w:rPr>
                <w:rFonts w:ascii="Calibri" w:hAnsi="Calibri" w:cs="Calibri"/>
              </w:rPr>
              <w:t xml:space="preserve"> другие вопросы, отнесенные настоящим Кодексом к компетенции общего собрания собственников помещений в многоквартирном доме.</w:t>
            </w:r>
          </w:p>
        </w:tc>
      </w:tr>
      <w:tr w:rsidR="00D74737" w:rsidRPr="00410F11" w:rsidTr="00D74737">
        <w:tc>
          <w:tcPr>
            <w:tcW w:w="775" w:type="dxa"/>
          </w:tcPr>
          <w:p w:rsidR="00D74737" w:rsidRPr="00410F11" w:rsidRDefault="00D74737" w:rsidP="00D74737">
            <w:pPr>
              <w:jc w:val="center"/>
              <w:rPr>
                <w:rFonts w:ascii="Times New Roman" w:hAnsi="Times New Roman" w:cs="Times New Roman"/>
              </w:rPr>
            </w:pPr>
          </w:p>
        </w:tc>
        <w:tc>
          <w:tcPr>
            <w:tcW w:w="2186" w:type="dxa"/>
          </w:tcPr>
          <w:p w:rsidR="00D74737" w:rsidRPr="00410F11" w:rsidRDefault="00D74737" w:rsidP="00D74737">
            <w:pPr>
              <w:jc w:val="center"/>
              <w:rPr>
                <w:rFonts w:ascii="Times New Roman" w:hAnsi="Times New Roman" w:cs="Times New Roman"/>
              </w:rPr>
            </w:pPr>
          </w:p>
        </w:tc>
        <w:tc>
          <w:tcPr>
            <w:tcW w:w="3186" w:type="dxa"/>
            <w:gridSpan w:val="3"/>
          </w:tcPr>
          <w:p w:rsidR="00D74737" w:rsidRPr="00C97808" w:rsidRDefault="00D74737" w:rsidP="00D74737">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ПОСТАНОВЛЕНИЕ</w:t>
            </w:r>
            <w:r w:rsidRPr="00C97808">
              <w:rPr>
                <w:rFonts w:ascii="Times New Roman" w:hAnsi="Times New Roman" w:cs="Times New Roman"/>
                <w:bCs/>
              </w:rPr>
              <w:t xml:space="preserve"> ПРАВИТЕЛЬСТВА РОССИЙСКОЙ ФЕДЕРАЦИИ</w:t>
            </w:r>
          </w:p>
          <w:p w:rsidR="00D74737" w:rsidRPr="00C97808" w:rsidRDefault="00D74737" w:rsidP="00D74737">
            <w:pPr>
              <w:widowControl w:val="0"/>
              <w:autoSpaceDE w:val="0"/>
              <w:autoSpaceDN w:val="0"/>
              <w:adjustRightInd w:val="0"/>
              <w:jc w:val="center"/>
              <w:rPr>
                <w:rFonts w:ascii="Times New Roman" w:hAnsi="Times New Roman" w:cs="Times New Roman"/>
                <w:bCs/>
              </w:rPr>
            </w:pPr>
            <w:r w:rsidRPr="00C97808">
              <w:rPr>
                <w:rFonts w:ascii="Times New Roman" w:hAnsi="Times New Roman" w:cs="Times New Roman"/>
                <w:bCs/>
              </w:rPr>
              <w:t>от 1</w:t>
            </w:r>
            <w:r>
              <w:rPr>
                <w:rFonts w:ascii="Times New Roman" w:hAnsi="Times New Roman" w:cs="Times New Roman"/>
                <w:bCs/>
              </w:rPr>
              <w:t>4</w:t>
            </w:r>
            <w:r w:rsidRPr="00C97808">
              <w:rPr>
                <w:rFonts w:ascii="Times New Roman" w:hAnsi="Times New Roman" w:cs="Times New Roman"/>
                <w:bCs/>
              </w:rPr>
              <w:t xml:space="preserve"> </w:t>
            </w:r>
            <w:r>
              <w:rPr>
                <w:rFonts w:ascii="Times New Roman" w:hAnsi="Times New Roman" w:cs="Times New Roman"/>
                <w:bCs/>
              </w:rPr>
              <w:t>февраля</w:t>
            </w:r>
            <w:r w:rsidRPr="00C97808">
              <w:rPr>
                <w:rFonts w:ascii="Times New Roman" w:hAnsi="Times New Roman" w:cs="Times New Roman"/>
                <w:bCs/>
              </w:rPr>
              <w:t xml:space="preserve"> 201</w:t>
            </w:r>
            <w:r>
              <w:rPr>
                <w:rFonts w:ascii="Times New Roman" w:hAnsi="Times New Roman" w:cs="Times New Roman"/>
                <w:bCs/>
              </w:rPr>
              <w:t>2</w:t>
            </w:r>
            <w:r w:rsidRPr="00C97808">
              <w:rPr>
                <w:rFonts w:ascii="Times New Roman" w:hAnsi="Times New Roman" w:cs="Times New Roman"/>
                <w:bCs/>
              </w:rPr>
              <w:t xml:space="preserve"> г. N </w:t>
            </w:r>
            <w:r>
              <w:rPr>
                <w:rFonts w:ascii="Times New Roman" w:hAnsi="Times New Roman" w:cs="Times New Roman"/>
                <w:bCs/>
              </w:rPr>
              <w:t>124</w:t>
            </w:r>
            <w:proofErr w:type="gramStart"/>
            <w:r w:rsidR="00FF2D8F" w:rsidRPr="00C97808">
              <w:rPr>
                <w:rFonts w:ascii="Times New Roman" w:hAnsi="Times New Roman" w:cs="Times New Roman"/>
                <w:bCs/>
              </w:rPr>
              <w:fldChar w:fldCharType="begin"/>
            </w:r>
            <w:r w:rsidRPr="00C97808">
              <w:rPr>
                <w:rFonts w:ascii="Times New Roman" w:hAnsi="Times New Roman" w:cs="Times New Roman"/>
                <w:bCs/>
              </w:rPr>
              <w:instrText xml:space="preserve">HYPERLINK consultantplus://offline/ref=CE604412D3536E477C84780D06B7DE969FCC2EDB797BAB9982460DC0965005C17D1CC150E5744075U0KDF </w:instrText>
            </w:r>
            <w:r w:rsidR="00FF2D8F" w:rsidRPr="00C97808">
              <w:rPr>
                <w:rFonts w:ascii="Times New Roman" w:hAnsi="Times New Roman" w:cs="Times New Roman"/>
                <w:bCs/>
              </w:rPr>
              <w:fldChar w:fldCharType="separate"/>
            </w:r>
            <w:r w:rsidRPr="00C97808">
              <w:rPr>
                <w:rFonts w:ascii="Times New Roman" w:hAnsi="Times New Roman" w:cs="Times New Roman"/>
                <w:bCs/>
              </w:rPr>
              <w:br/>
              <w:t>О</w:t>
            </w:r>
            <w:proofErr w:type="gramEnd"/>
            <w:r>
              <w:rPr>
                <w:rFonts w:ascii="Times New Roman" w:hAnsi="Times New Roman" w:cs="Times New Roman"/>
                <w:bCs/>
              </w:rPr>
              <w:t xml:space="preserve"> правилах при заключении договоров снабжения коммунальными ресурсами для целей оказания коммунальных услуг</w:t>
            </w:r>
            <w:r w:rsidRPr="00C97808">
              <w:rPr>
                <w:rFonts w:ascii="Times New Roman" w:hAnsi="Times New Roman" w:cs="Times New Roman"/>
                <w:bCs/>
              </w:rPr>
              <w:t>.</w:t>
            </w:r>
            <w:r w:rsidRPr="00C97808">
              <w:rPr>
                <w:rFonts w:ascii="Times New Roman" w:hAnsi="Times New Roman" w:cs="Times New Roman"/>
                <w:bCs/>
              </w:rPr>
              <w:br/>
            </w:r>
            <w:r w:rsidR="00FF2D8F" w:rsidRPr="00C97808">
              <w:rPr>
                <w:rFonts w:ascii="Times New Roman" w:hAnsi="Times New Roman" w:cs="Times New Roman"/>
                <w:bCs/>
              </w:rPr>
              <w:fldChar w:fldCharType="end"/>
            </w:r>
          </w:p>
          <w:p w:rsidR="00D74737" w:rsidRPr="00410F11" w:rsidRDefault="00D74737" w:rsidP="00D74737">
            <w:pPr>
              <w:autoSpaceDE w:val="0"/>
              <w:autoSpaceDN w:val="0"/>
              <w:adjustRightInd w:val="0"/>
              <w:ind w:firstLine="540"/>
              <w:jc w:val="center"/>
            </w:pPr>
          </w:p>
        </w:tc>
        <w:tc>
          <w:tcPr>
            <w:tcW w:w="4382" w:type="dxa"/>
          </w:tcPr>
          <w:p w:rsidR="00D74737" w:rsidRDefault="00D74737" w:rsidP="00D74737">
            <w:pPr>
              <w:widowControl w:val="0"/>
              <w:autoSpaceDE w:val="0"/>
              <w:autoSpaceDN w:val="0"/>
              <w:adjustRightInd w:val="0"/>
              <w:ind w:firstLine="540"/>
              <w:jc w:val="both"/>
              <w:rPr>
                <w:rFonts w:ascii="Calibri" w:hAnsi="Calibri" w:cs="Calibri"/>
              </w:rPr>
            </w:pPr>
            <w:r>
              <w:rPr>
                <w:rFonts w:ascii="Calibri" w:hAnsi="Calibri" w:cs="Calibri"/>
              </w:rPr>
              <w:t xml:space="preserve">П.25. При определении в договоре </w:t>
            </w:r>
            <w:proofErr w:type="spellStart"/>
            <w:r>
              <w:rPr>
                <w:rFonts w:ascii="Calibri" w:hAnsi="Calibri" w:cs="Calibri"/>
              </w:rPr>
              <w:t>ресурсоснабжения</w:t>
            </w:r>
            <w:proofErr w:type="spellEnd"/>
            <w:r>
              <w:rPr>
                <w:rFonts w:ascii="Calibri" w:hAnsi="Calibri" w:cs="Calibri"/>
              </w:rPr>
              <w:t xml:space="preserve"> порядка оплаты коммунального ресурса предусматривается осуществление оплаты:</w:t>
            </w:r>
          </w:p>
          <w:p w:rsidR="00D74737" w:rsidRDefault="00D74737" w:rsidP="00D747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случае принятия общим собранием собственников помещений в МКД или общим собранием членов ТСЖ или ЖСК решения о внесении платы за коммунальные услуги непосредственно РСО – путем внесения потребителями непосредственно в адрес РСО…. Платы за соответствующий вид коммунальной услуги, потребляемой в жилых и (или) нежилых помещениях в МКД, за исключением платы за </w:t>
            </w:r>
            <w:proofErr w:type="spellStart"/>
            <w:r>
              <w:rPr>
                <w:rFonts w:ascii="Calibri" w:hAnsi="Calibri" w:cs="Calibri"/>
              </w:rPr>
              <w:t>соответсвующий</w:t>
            </w:r>
            <w:proofErr w:type="spellEnd"/>
            <w:r>
              <w:rPr>
                <w:rFonts w:ascii="Calibri" w:hAnsi="Calibri" w:cs="Calibri"/>
              </w:rPr>
              <w:t xml:space="preserve"> вид коммунальной услуги, потребляемой при использовании общего имущества</w:t>
            </w:r>
            <w:proofErr w:type="gramEnd"/>
            <w:r>
              <w:rPr>
                <w:rFonts w:ascii="Calibri" w:hAnsi="Calibri" w:cs="Calibri"/>
              </w:rPr>
              <w:t xml:space="preserve"> в МКД,…</w:t>
            </w:r>
          </w:p>
          <w:p w:rsidR="00D74737" w:rsidRPr="00A565A3" w:rsidRDefault="00D74737" w:rsidP="00D74737">
            <w:pPr>
              <w:widowControl w:val="0"/>
              <w:autoSpaceDE w:val="0"/>
              <w:autoSpaceDN w:val="0"/>
              <w:adjustRightInd w:val="0"/>
              <w:jc w:val="both"/>
              <w:rPr>
                <w:rFonts w:ascii="Calibri" w:hAnsi="Calibri" w:cs="Calibri"/>
              </w:rPr>
            </w:pPr>
            <w:r>
              <w:rPr>
                <w:rFonts w:ascii="Calibri" w:hAnsi="Calibri" w:cs="Calibri"/>
              </w:rPr>
              <w:t>далее по тексту.</w:t>
            </w:r>
            <w:r w:rsidRPr="00A565A3">
              <w:rPr>
                <w:rFonts w:ascii="Calibri" w:hAnsi="Calibri" w:cs="Calibri"/>
              </w:rPr>
              <w:t xml:space="preserve"> </w:t>
            </w:r>
          </w:p>
        </w:tc>
        <w:tc>
          <w:tcPr>
            <w:tcW w:w="4463" w:type="dxa"/>
          </w:tcPr>
          <w:p w:rsidR="00413690" w:rsidRPr="00413690" w:rsidRDefault="00413690" w:rsidP="00413690">
            <w:pPr>
              <w:widowControl w:val="0"/>
              <w:autoSpaceDE w:val="0"/>
              <w:autoSpaceDN w:val="0"/>
              <w:adjustRightInd w:val="0"/>
              <w:ind w:firstLine="540"/>
              <w:jc w:val="both"/>
              <w:rPr>
                <w:rFonts w:ascii="Calibri" w:hAnsi="Calibri" w:cs="Calibri"/>
              </w:rPr>
            </w:pPr>
            <w:r w:rsidRPr="00413690">
              <w:rPr>
                <w:rFonts w:ascii="Calibri" w:hAnsi="Calibri" w:cs="Calibri"/>
              </w:rPr>
              <w:t xml:space="preserve">П.25. При определении в договоре </w:t>
            </w:r>
            <w:proofErr w:type="spellStart"/>
            <w:r w:rsidRPr="00413690">
              <w:rPr>
                <w:rFonts w:ascii="Calibri" w:hAnsi="Calibri" w:cs="Calibri"/>
              </w:rPr>
              <w:t>ресурсоснабжения</w:t>
            </w:r>
            <w:proofErr w:type="spellEnd"/>
            <w:r w:rsidRPr="00413690">
              <w:rPr>
                <w:rFonts w:ascii="Calibri" w:hAnsi="Calibri" w:cs="Calibri"/>
              </w:rPr>
              <w:t xml:space="preserve"> порядка </w:t>
            </w:r>
            <w:r>
              <w:rPr>
                <w:rFonts w:ascii="Calibri" w:hAnsi="Calibri" w:cs="Calibri"/>
              </w:rPr>
              <w:t xml:space="preserve">расчетов и (или) внесения </w:t>
            </w:r>
            <w:r w:rsidRPr="00413690">
              <w:rPr>
                <w:rFonts w:ascii="Calibri" w:hAnsi="Calibri" w:cs="Calibri"/>
              </w:rPr>
              <w:t xml:space="preserve">оплаты коммунального ресурса предусматривается </w:t>
            </w:r>
            <w:r>
              <w:rPr>
                <w:rFonts w:ascii="Calibri" w:hAnsi="Calibri" w:cs="Calibri"/>
              </w:rPr>
              <w:t>следующее</w:t>
            </w:r>
            <w:r w:rsidRPr="00413690">
              <w:rPr>
                <w:rFonts w:ascii="Calibri" w:hAnsi="Calibri" w:cs="Calibri"/>
              </w:rPr>
              <w:t>:</w:t>
            </w:r>
          </w:p>
          <w:p w:rsidR="00413690" w:rsidRPr="00413690" w:rsidRDefault="00413690" w:rsidP="00413690">
            <w:pPr>
              <w:widowControl w:val="0"/>
              <w:autoSpaceDE w:val="0"/>
              <w:autoSpaceDN w:val="0"/>
              <w:adjustRightInd w:val="0"/>
              <w:ind w:firstLine="540"/>
              <w:jc w:val="both"/>
              <w:rPr>
                <w:rFonts w:ascii="Calibri" w:hAnsi="Calibri" w:cs="Calibri"/>
              </w:rPr>
            </w:pPr>
            <w:r w:rsidRPr="00413690">
              <w:rPr>
                <w:rFonts w:ascii="Calibri" w:hAnsi="Calibri" w:cs="Calibri"/>
              </w:rPr>
              <w:t xml:space="preserve">В случае принятия общим собранием собственников помещений в МКД или общим собранием членов ТСЖ или ЖСК решения о </w:t>
            </w:r>
            <w:r>
              <w:rPr>
                <w:rFonts w:ascii="Calibri" w:hAnsi="Calibri" w:cs="Calibri"/>
              </w:rPr>
              <w:t xml:space="preserve">расчетах и (или) </w:t>
            </w:r>
            <w:r w:rsidRPr="00413690">
              <w:rPr>
                <w:rFonts w:ascii="Calibri" w:hAnsi="Calibri" w:cs="Calibri"/>
              </w:rPr>
              <w:t>внесении платы за коммунальные услуги непосредственно РСО</w:t>
            </w:r>
            <w:r>
              <w:rPr>
                <w:rFonts w:ascii="Calibri" w:hAnsi="Calibri" w:cs="Calibri"/>
              </w:rPr>
              <w:t xml:space="preserve">, в т.ч. потребляемые при использовании общего имущества в МКД, </w:t>
            </w:r>
            <w:r w:rsidRPr="00413690">
              <w:rPr>
                <w:rFonts w:ascii="Calibri" w:hAnsi="Calibri" w:cs="Calibri"/>
              </w:rPr>
              <w:t xml:space="preserve"> – путем внесения потребителями непосредственно в адрес РСО…. </w:t>
            </w:r>
            <w:r>
              <w:rPr>
                <w:rFonts w:ascii="Calibri" w:hAnsi="Calibri" w:cs="Calibri"/>
              </w:rPr>
              <w:t>п</w:t>
            </w:r>
            <w:r w:rsidRPr="00413690">
              <w:rPr>
                <w:rFonts w:ascii="Calibri" w:hAnsi="Calibri" w:cs="Calibri"/>
              </w:rPr>
              <w:t xml:space="preserve">латы за соответствующий вид коммунальной услуги, потребляемой в жилых и (или) нежилых помещениях в МКД, </w:t>
            </w:r>
            <w:r>
              <w:rPr>
                <w:rFonts w:ascii="Calibri" w:hAnsi="Calibri" w:cs="Calibri"/>
              </w:rPr>
              <w:t>включая</w:t>
            </w:r>
            <w:r w:rsidRPr="00413690">
              <w:rPr>
                <w:rFonts w:ascii="Calibri" w:hAnsi="Calibri" w:cs="Calibri"/>
              </w:rPr>
              <w:t xml:space="preserve"> плат</w:t>
            </w:r>
            <w:r>
              <w:rPr>
                <w:rFonts w:ascii="Calibri" w:hAnsi="Calibri" w:cs="Calibri"/>
              </w:rPr>
              <w:t>у</w:t>
            </w:r>
            <w:bookmarkStart w:id="0" w:name="_GoBack"/>
            <w:bookmarkEnd w:id="0"/>
            <w:r w:rsidRPr="00413690">
              <w:rPr>
                <w:rFonts w:ascii="Calibri" w:hAnsi="Calibri" w:cs="Calibri"/>
              </w:rPr>
              <w:t xml:space="preserve"> за </w:t>
            </w:r>
            <w:proofErr w:type="spellStart"/>
            <w:r w:rsidRPr="00413690">
              <w:rPr>
                <w:rFonts w:ascii="Calibri" w:hAnsi="Calibri" w:cs="Calibri"/>
              </w:rPr>
              <w:t>соответсвующий</w:t>
            </w:r>
            <w:proofErr w:type="spellEnd"/>
            <w:r w:rsidRPr="00413690">
              <w:rPr>
                <w:rFonts w:ascii="Calibri" w:hAnsi="Calibri" w:cs="Calibri"/>
              </w:rPr>
              <w:t xml:space="preserve"> вид коммунальной услуги, потребляемой при использовании общего имущества в МКД,…</w:t>
            </w:r>
          </w:p>
          <w:p w:rsidR="00D74737" w:rsidRPr="00A565A3" w:rsidRDefault="00413690" w:rsidP="00413690">
            <w:pPr>
              <w:widowControl w:val="0"/>
              <w:autoSpaceDE w:val="0"/>
              <w:autoSpaceDN w:val="0"/>
              <w:adjustRightInd w:val="0"/>
              <w:ind w:firstLine="540"/>
              <w:jc w:val="both"/>
              <w:rPr>
                <w:rFonts w:ascii="Calibri" w:hAnsi="Calibri" w:cs="Calibri"/>
              </w:rPr>
            </w:pPr>
            <w:r w:rsidRPr="00413690">
              <w:rPr>
                <w:rFonts w:ascii="Calibri" w:hAnsi="Calibri" w:cs="Calibri"/>
              </w:rPr>
              <w:t>далее по тексту.</w:t>
            </w:r>
          </w:p>
        </w:tc>
      </w:tr>
      <w:tr w:rsidR="00C97808" w:rsidRPr="00410F11" w:rsidTr="00D74737">
        <w:tc>
          <w:tcPr>
            <w:tcW w:w="775" w:type="dxa"/>
          </w:tcPr>
          <w:p w:rsidR="00C97808" w:rsidRPr="00410F11" w:rsidRDefault="00C97808" w:rsidP="00410F11">
            <w:pPr>
              <w:jc w:val="center"/>
              <w:rPr>
                <w:rFonts w:ascii="Times New Roman" w:hAnsi="Times New Roman" w:cs="Times New Roman"/>
              </w:rPr>
            </w:pPr>
          </w:p>
        </w:tc>
        <w:tc>
          <w:tcPr>
            <w:tcW w:w="2186" w:type="dxa"/>
          </w:tcPr>
          <w:p w:rsidR="00C97808" w:rsidRPr="00410F11" w:rsidRDefault="00C97808" w:rsidP="00410F11">
            <w:pPr>
              <w:jc w:val="center"/>
              <w:rPr>
                <w:rFonts w:ascii="Times New Roman" w:hAnsi="Times New Roman" w:cs="Times New Roman"/>
              </w:rPr>
            </w:pPr>
          </w:p>
        </w:tc>
        <w:tc>
          <w:tcPr>
            <w:tcW w:w="3186" w:type="dxa"/>
            <w:gridSpan w:val="3"/>
          </w:tcPr>
          <w:p w:rsidR="00C97808" w:rsidRPr="00C97808" w:rsidRDefault="00C97808" w:rsidP="00C97808">
            <w:pPr>
              <w:widowControl w:val="0"/>
              <w:autoSpaceDE w:val="0"/>
              <w:autoSpaceDN w:val="0"/>
              <w:adjustRightInd w:val="0"/>
              <w:jc w:val="center"/>
              <w:rPr>
                <w:rFonts w:ascii="Times New Roman" w:hAnsi="Times New Roman" w:cs="Times New Roman"/>
                <w:bCs/>
              </w:rPr>
            </w:pPr>
            <w:r w:rsidRPr="00C97808">
              <w:rPr>
                <w:rFonts w:ascii="Times New Roman" w:hAnsi="Times New Roman" w:cs="Times New Roman"/>
                <w:bCs/>
              </w:rPr>
              <w:t>РАСПОРЯЖЕНИЕ ПРАВИТЕЛЬСТВА РОССИЙСКОЙ ФЕДЕРАЦИИ</w:t>
            </w:r>
          </w:p>
          <w:p w:rsidR="00C97808" w:rsidRPr="00C97808" w:rsidRDefault="00C97808" w:rsidP="00C97808">
            <w:pPr>
              <w:widowControl w:val="0"/>
              <w:autoSpaceDE w:val="0"/>
              <w:autoSpaceDN w:val="0"/>
              <w:adjustRightInd w:val="0"/>
              <w:jc w:val="center"/>
              <w:rPr>
                <w:rFonts w:ascii="Times New Roman" w:hAnsi="Times New Roman" w:cs="Times New Roman"/>
                <w:bCs/>
              </w:rPr>
            </w:pPr>
            <w:r w:rsidRPr="00C97808">
              <w:rPr>
                <w:rFonts w:ascii="Times New Roman" w:hAnsi="Times New Roman" w:cs="Times New Roman"/>
                <w:bCs/>
              </w:rPr>
              <w:t>от 15 апреля 2011 г. N 643-р</w:t>
            </w:r>
            <w:proofErr w:type="gramStart"/>
            <w:r w:rsidR="00FF2D8F" w:rsidRPr="00C97808">
              <w:rPr>
                <w:rFonts w:ascii="Times New Roman" w:hAnsi="Times New Roman" w:cs="Times New Roman"/>
                <w:bCs/>
              </w:rPr>
              <w:fldChar w:fldCharType="begin"/>
            </w:r>
            <w:r w:rsidRPr="00C97808">
              <w:rPr>
                <w:rFonts w:ascii="Times New Roman" w:hAnsi="Times New Roman" w:cs="Times New Roman"/>
                <w:bCs/>
              </w:rPr>
              <w:instrText xml:space="preserve">HYPERLINK consultantplus://offline/ref=CE604412D3536E477C84780D06B7DE969FCC2EDB797BAB9982460DC0965005C17D1CC150E5744075U0KDF </w:instrText>
            </w:r>
            <w:r w:rsidR="00FF2D8F" w:rsidRPr="00C97808">
              <w:rPr>
                <w:rFonts w:ascii="Times New Roman" w:hAnsi="Times New Roman" w:cs="Times New Roman"/>
                <w:bCs/>
              </w:rPr>
              <w:fldChar w:fldCharType="separate"/>
            </w:r>
            <w:r w:rsidRPr="00C97808">
              <w:rPr>
                <w:rFonts w:ascii="Times New Roman" w:hAnsi="Times New Roman" w:cs="Times New Roman"/>
                <w:bCs/>
              </w:rPr>
              <w:br/>
              <w:t>О</w:t>
            </w:r>
            <w:proofErr w:type="gramEnd"/>
            <w:r w:rsidRPr="00C97808">
              <w:rPr>
                <w:rFonts w:ascii="Times New Roman" w:hAnsi="Times New Roman" w:cs="Times New Roman"/>
                <w:bCs/>
              </w:rPr>
              <w:t>б определении ОАО "Ремонтно-эксплуатационное управление" единственным поставщиком тепловой энергии для нужд Минобороны России и подведомственных Минобороны России организаций.</w:t>
            </w:r>
            <w:r w:rsidRPr="00C97808">
              <w:rPr>
                <w:rFonts w:ascii="Times New Roman" w:hAnsi="Times New Roman" w:cs="Times New Roman"/>
                <w:bCs/>
              </w:rPr>
              <w:br/>
            </w:r>
            <w:r w:rsidR="00FF2D8F" w:rsidRPr="00C97808">
              <w:rPr>
                <w:rFonts w:ascii="Times New Roman" w:hAnsi="Times New Roman" w:cs="Times New Roman"/>
                <w:bCs/>
              </w:rPr>
              <w:fldChar w:fldCharType="end"/>
            </w:r>
          </w:p>
          <w:p w:rsidR="00C97808" w:rsidRPr="00410F11" w:rsidRDefault="00C97808" w:rsidP="00410F11">
            <w:pPr>
              <w:autoSpaceDE w:val="0"/>
              <w:autoSpaceDN w:val="0"/>
              <w:adjustRightInd w:val="0"/>
              <w:ind w:firstLine="540"/>
              <w:jc w:val="center"/>
            </w:pPr>
          </w:p>
        </w:tc>
        <w:tc>
          <w:tcPr>
            <w:tcW w:w="4382" w:type="dxa"/>
          </w:tcPr>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17.1 части 2 статьи 55</w:t>
              </w:r>
            </w:hyperlink>
            <w:r>
              <w:rPr>
                <w:rFonts w:ascii="Calibri" w:hAnsi="Calibri" w:cs="Calibri"/>
              </w:rPr>
              <w:t xml:space="preserve"> Федерального закона "О размещении заказов на поставки товаров, выполнение работ, оказание услуг для государственных и муниципальных нужд" определить открытое акционерное общество "Ремонтно-эксплуатационное управление" единственным поставщиком тепловой энергии для нужд Минобороны России и подведомственных Минобороны России организаций.</w:t>
            </w:r>
          </w:p>
          <w:p w:rsidR="00C97808" w:rsidRPr="00A565A3" w:rsidRDefault="00C97808" w:rsidP="00C97808">
            <w:pPr>
              <w:jc w:val="both"/>
              <w:rPr>
                <w:rFonts w:ascii="Calibri" w:hAnsi="Calibri" w:cs="Calibri"/>
              </w:rPr>
            </w:pPr>
          </w:p>
        </w:tc>
        <w:tc>
          <w:tcPr>
            <w:tcW w:w="4463" w:type="dxa"/>
          </w:tcPr>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rPr>
              <w:t xml:space="preserve">Издание Распоряжения следующего содержания: </w:t>
            </w:r>
          </w:p>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17.1 части 2 статьи 55</w:t>
              </w:r>
            </w:hyperlink>
            <w:r>
              <w:rPr>
                <w:rFonts w:ascii="Calibri" w:hAnsi="Calibri" w:cs="Calibri"/>
              </w:rPr>
              <w:t xml:space="preserve"> Федерального закона "О размещении заказов на поставки товаров, выполнение работ, оказание услуг для государственных и муниципальных нужд":</w:t>
            </w:r>
          </w:p>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color w:val="0000FF"/>
              </w:rPr>
              <w:t xml:space="preserve">1.Отменить Распоряжение от 15.04.2011г. № 643-р. </w:t>
            </w:r>
          </w:p>
          <w:p w:rsidR="00C97808" w:rsidRPr="00A565A3" w:rsidRDefault="00C97808" w:rsidP="00C97808">
            <w:pPr>
              <w:widowControl w:val="0"/>
              <w:autoSpaceDE w:val="0"/>
              <w:autoSpaceDN w:val="0"/>
              <w:adjustRightInd w:val="0"/>
              <w:ind w:firstLine="540"/>
              <w:jc w:val="both"/>
              <w:rPr>
                <w:rFonts w:ascii="Calibri" w:hAnsi="Calibri" w:cs="Calibri"/>
              </w:rPr>
            </w:pPr>
            <w:r w:rsidRPr="00715194">
              <w:rPr>
                <w:rFonts w:ascii="Calibri" w:hAnsi="Calibri" w:cs="Calibri"/>
                <w:color w:val="0000FF"/>
              </w:rPr>
              <w:t xml:space="preserve">2.Определить </w:t>
            </w:r>
            <w:r w:rsidRPr="003641CA">
              <w:rPr>
                <w:rFonts w:ascii="Calibri" w:hAnsi="Calibri" w:cs="Calibri"/>
                <w:color w:val="0000FF"/>
              </w:rPr>
              <w:t>Министерство обороны РФ  единственным поставщиком тепловой энергии для нужд подведомственных Минобороны России организаций.</w:t>
            </w:r>
          </w:p>
        </w:tc>
      </w:tr>
      <w:tr w:rsidR="00C97808" w:rsidRPr="00410F11" w:rsidTr="00D74737">
        <w:tc>
          <w:tcPr>
            <w:tcW w:w="775" w:type="dxa"/>
          </w:tcPr>
          <w:p w:rsidR="00C97808" w:rsidRPr="00410F11" w:rsidRDefault="00C97808" w:rsidP="00410F11">
            <w:pPr>
              <w:jc w:val="center"/>
              <w:rPr>
                <w:rFonts w:ascii="Times New Roman" w:hAnsi="Times New Roman" w:cs="Times New Roman"/>
              </w:rPr>
            </w:pPr>
            <w:r>
              <w:rPr>
                <w:rFonts w:ascii="Times New Roman" w:hAnsi="Times New Roman" w:cs="Times New Roman"/>
              </w:rPr>
              <w:lastRenderedPageBreak/>
              <w:t>2</w:t>
            </w:r>
          </w:p>
        </w:tc>
        <w:tc>
          <w:tcPr>
            <w:tcW w:w="2186" w:type="dxa"/>
          </w:tcPr>
          <w:p w:rsidR="00C97808" w:rsidRPr="00410F11" w:rsidRDefault="00C97808" w:rsidP="00C97808">
            <w:pPr>
              <w:jc w:val="center"/>
              <w:rPr>
                <w:rFonts w:ascii="Times New Roman" w:hAnsi="Times New Roman" w:cs="Times New Roman"/>
              </w:rPr>
            </w:pPr>
            <w:r>
              <w:rPr>
                <w:rFonts w:ascii="Times New Roman" w:hAnsi="Times New Roman" w:cs="Times New Roman"/>
              </w:rPr>
              <w:t>Предоставление Ресурсоснабжающей организации доступа к персональным данным потребителя (жители МКД)</w:t>
            </w:r>
          </w:p>
        </w:tc>
        <w:tc>
          <w:tcPr>
            <w:tcW w:w="3186" w:type="dxa"/>
            <w:gridSpan w:val="3"/>
          </w:tcPr>
          <w:p w:rsidR="00C97808" w:rsidRPr="00C97808" w:rsidRDefault="00C97808" w:rsidP="00C97808">
            <w:pPr>
              <w:autoSpaceDE w:val="0"/>
              <w:autoSpaceDN w:val="0"/>
              <w:adjustRightInd w:val="0"/>
              <w:ind w:firstLine="540"/>
              <w:jc w:val="both"/>
              <w:rPr>
                <w:rFonts w:ascii="Times New Roman" w:hAnsi="Times New Roman" w:cs="Times New Roman"/>
              </w:rPr>
            </w:pPr>
            <w:r w:rsidRPr="00C97808">
              <w:rPr>
                <w:rFonts w:ascii="Times New Roman" w:hAnsi="Times New Roman" w:cs="Times New Roman"/>
              </w:rPr>
              <w:t>Федеральный закон «О персональных данных» № ФЗ-152 от 27.07.2006г.</w:t>
            </w:r>
          </w:p>
          <w:p w:rsidR="00C97808" w:rsidRPr="00C97808" w:rsidRDefault="00C97808" w:rsidP="00C97808">
            <w:pPr>
              <w:widowControl w:val="0"/>
              <w:autoSpaceDE w:val="0"/>
              <w:autoSpaceDN w:val="0"/>
              <w:adjustRightInd w:val="0"/>
              <w:jc w:val="center"/>
              <w:rPr>
                <w:rFonts w:ascii="Times New Roman" w:hAnsi="Times New Roman" w:cs="Times New Roman"/>
                <w:bCs/>
              </w:rPr>
            </w:pPr>
          </w:p>
        </w:tc>
        <w:tc>
          <w:tcPr>
            <w:tcW w:w="4382" w:type="dxa"/>
          </w:tcPr>
          <w:p w:rsidR="00C97808" w:rsidRPr="00C97808" w:rsidRDefault="00C97808" w:rsidP="00C97808">
            <w:pPr>
              <w:autoSpaceDE w:val="0"/>
              <w:autoSpaceDN w:val="0"/>
              <w:adjustRightInd w:val="0"/>
              <w:ind w:firstLine="540"/>
              <w:jc w:val="both"/>
              <w:outlineLvl w:val="0"/>
              <w:rPr>
                <w:rFonts w:ascii="Calibri" w:hAnsi="Calibri" w:cs="Calibri"/>
              </w:rPr>
            </w:pPr>
            <w:r w:rsidRPr="00C97808">
              <w:rPr>
                <w:rFonts w:ascii="Calibri" w:hAnsi="Calibri" w:cs="Calibri"/>
              </w:rPr>
              <w:t xml:space="preserve">Предлагается внести изменения в ФЗ «О персональных данных», касающихся обработки персональных данных физических лиц при изготовлении платежных документов на оплату коммунальных услуг </w:t>
            </w:r>
            <w:proofErr w:type="spellStart"/>
            <w:r w:rsidRPr="00C97808">
              <w:rPr>
                <w:rFonts w:ascii="Calibri" w:hAnsi="Calibri" w:cs="Calibri"/>
              </w:rPr>
              <w:t>ресурсоснабжающими</w:t>
            </w:r>
            <w:proofErr w:type="spellEnd"/>
            <w:r w:rsidRPr="00C97808">
              <w:rPr>
                <w:rFonts w:ascii="Calibri" w:hAnsi="Calibri" w:cs="Calibri"/>
              </w:rPr>
              <w:t>/теплоснабжающими организациями, в части указания ФИО потребителя. Поскольку ст. ст. 158, 540 Гражданского кодекса РФ установлена норма: договор считается заключенным с момента первого фактического подключения (заселения),  ст.153 Жилищного кодекса РФ, Постановлениями Правительства РФ № 307 и № 354 предусмотрено, что счет-квитанция должна содержать ФИО потребителя. Статьей 153 ЖК РФ закреплена  обязанность по внесению платы за жилое помещение и коммунальные услуги с момента заселения.</w:t>
            </w:r>
          </w:p>
          <w:p w:rsidR="00C97808" w:rsidRDefault="00C97808" w:rsidP="00C97808">
            <w:pPr>
              <w:widowControl w:val="0"/>
              <w:autoSpaceDE w:val="0"/>
              <w:autoSpaceDN w:val="0"/>
              <w:adjustRightInd w:val="0"/>
              <w:ind w:firstLine="540"/>
              <w:jc w:val="both"/>
              <w:rPr>
                <w:rFonts w:ascii="Calibri" w:hAnsi="Calibri" w:cs="Calibri"/>
              </w:rPr>
            </w:pPr>
          </w:p>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rPr>
              <w:t>Дополнить п.1 ст.6 подпунктом 12.</w:t>
            </w:r>
          </w:p>
        </w:tc>
        <w:tc>
          <w:tcPr>
            <w:tcW w:w="4463" w:type="dxa"/>
          </w:tcPr>
          <w:p w:rsidR="00C97808" w:rsidRDefault="00C97808" w:rsidP="00C97808">
            <w:pPr>
              <w:autoSpaceDE w:val="0"/>
              <w:autoSpaceDN w:val="0"/>
              <w:adjustRightInd w:val="0"/>
              <w:ind w:firstLine="540"/>
              <w:jc w:val="both"/>
              <w:rPr>
                <w:rFonts w:ascii="Calibri" w:hAnsi="Calibri" w:cs="Calibri"/>
                <w:color w:val="0000FF"/>
              </w:rPr>
            </w:pPr>
            <w:r>
              <w:rPr>
                <w:rFonts w:ascii="Calibri" w:hAnsi="Calibri" w:cs="Calibri"/>
                <w:iCs/>
                <w:color w:val="0000FF"/>
              </w:rPr>
              <w:t xml:space="preserve">     </w:t>
            </w:r>
            <w:r w:rsidRPr="003261AD">
              <w:rPr>
                <w:rFonts w:ascii="Calibri" w:hAnsi="Calibri" w:cs="Calibri"/>
                <w:iCs/>
                <w:color w:val="0000FF"/>
              </w:rPr>
              <w:t>Предлагае</w:t>
            </w:r>
            <w:r>
              <w:rPr>
                <w:rFonts w:ascii="Calibri" w:hAnsi="Calibri" w:cs="Calibri"/>
                <w:iCs/>
                <w:color w:val="0000FF"/>
              </w:rPr>
              <w:t>тся в действующую редакцию пункта 1 ст. 6 ФЗ-152 от 27.07.2006г. д</w:t>
            </w:r>
            <w:r w:rsidRPr="003261AD">
              <w:rPr>
                <w:rFonts w:ascii="Calibri" w:hAnsi="Calibri" w:cs="Calibri"/>
                <w:color w:val="0000FF"/>
              </w:rPr>
              <w:t xml:space="preserve">ополнить </w:t>
            </w:r>
            <w:r>
              <w:rPr>
                <w:rFonts w:ascii="Calibri" w:hAnsi="Calibri" w:cs="Calibri"/>
                <w:color w:val="0000FF"/>
              </w:rPr>
              <w:t>подпунктом 12 следующего содержания:</w:t>
            </w:r>
          </w:p>
          <w:p w:rsidR="00C97808" w:rsidRPr="002B6BED" w:rsidRDefault="00C97808" w:rsidP="00C97808">
            <w:pPr>
              <w:autoSpaceDE w:val="0"/>
              <w:autoSpaceDN w:val="0"/>
              <w:adjustRightInd w:val="0"/>
              <w:ind w:firstLine="540"/>
              <w:jc w:val="both"/>
              <w:rPr>
                <w:rFonts w:ascii="Calibri" w:hAnsi="Calibri" w:cs="Calibri"/>
                <w:color w:val="0000FF"/>
              </w:rPr>
            </w:pPr>
            <w:r w:rsidRPr="002B6BED">
              <w:rPr>
                <w:rFonts w:ascii="Calibri" w:hAnsi="Calibri" w:cs="Calibri"/>
                <w:color w:val="0000FF"/>
              </w:rPr>
              <w:t>12) обработка персональных данных необходима для исполнения обязанности субъекта персональных данных по внесению платы за жилое помещение и коммунальные услуги.</w:t>
            </w:r>
          </w:p>
          <w:p w:rsidR="00C97808" w:rsidRDefault="00C97808" w:rsidP="00C97808">
            <w:pPr>
              <w:widowControl w:val="0"/>
              <w:autoSpaceDE w:val="0"/>
              <w:autoSpaceDN w:val="0"/>
              <w:adjustRightInd w:val="0"/>
              <w:ind w:firstLine="540"/>
              <w:jc w:val="both"/>
              <w:rPr>
                <w:rFonts w:ascii="Calibri" w:hAnsi="Calibri" w:cs="Calibri"/>
              </w:rPr>
            </w:pPr>
          </w:p>
        </w:tc>
      </w:tr>
      <w:tr w:rsidR="00C97808" w:rsidRPr="00410F11" w:rsidTr="00D74737">
        <w:tc>
          <w:tcPr>
            <w:tcW w:w="775" w:type="dxa"/>
          </w:tcPr>
          <w:p w:rsidR="00C97808" w:rsidRDefault="00C97808" w:rsidP="00410F11">
            <w:pPr>
              <w:jc w:val="center"/>
              <w:rPr>
                <w:rFonts w:ascii="Times New Roman" w:hAnsi="Times New Roman" w:cs="Times New Roman"/>
              </w:rPr>
            </w:pPr>
            <w:r>
              <w:rPr>
                <w:rFonts w:ascii="Times New Roman" w:hAnsi="Times New Roman" w:cs="Times New Roman"/>
              </w:rPr>
              <w:t>5</w:t>
            </w:r>
          </w:p>
        </w:tc>
        <w:tc>
          <w:tcPr>
            <w:tcW w:w="2186" w:type="dxa"/>
          </w:tcPr>
          <w:p w:rsidR="00C97808" w:rsidRDefault="00C97808" w:rsidP="00C97808">
            <w:pPr>
              <w:jc w:val="center"/>
              <w:rPr>
                <w:rFonts w:ascii="Times New Roman" w:hAnsi="Times New Roman" w:cs="Times New Roman"/>
              </w:rPr>
            </w:pPr>
            <w:r>
              <w:rPr>
                <w:rFonts w:ascii="Times New Roman" w:hAnsi="Times New Roman" w:cs="Times New Roman"/>
              </w:rPr>
              <w:t xml:space="preserve">Упрощение процедуры взыскания задолженности по исполнительным листам службой судебных приставов, с отменой нормы соразмерности долга и стоимости предполагаемого к аресту имущества </w:t>
            </w:r>
          </w:p>
        </w:tc>
        <w:tc>
          <w:tcPr>
            <w:tcW w:w="3186" w:type="dxa"/>
            <w:gridSpan w:val="3"/>
          </w:tcPr>
          <w:p w:rsidR="00C97808" w:rsidRPr="00C97808" w:rsidRDefault="00C97808" w:rsidP="00C97808">
            <w:pPr>
              <w:autoSpaceDE w:val="0"/>
              <w:autoSpaceDN w:val="0"/>
              <w:adjustRightInd w:val="0"/>
              <w:ind w:firstLine="540"/>
              <w:jc w:val="center"/>
              <w:rPr>
                <w:rFonts w:ascii="Times New Roman" w:hAnsi="Times New Roman" w:cs="Times New Roman"/>
              </w:rPr>
            </w:pPr>
            <w:r w:rsidRPr="00C97808">
              <w:rPr>
                <w:rFonts w:ascii="Times New Roman" w:hAnsi="Times New Roman" w:cs="Times New Roman"/>
              </w:rPr>
              <w:t xml:space="preserve">Федеральный закон от 02.10.2007 N 229-ФЗ </w:t>
            </w:r>
          </w:p>
          <w:p w:rsidR="00C97808" w:rsidRPr="00C97808" w:rsidRDefault="00C97808" w:rsidP="00C97808">
            <w:pPr>
              <w:autoSpaceDE w:val="0"/>
              <w:autoSpaceDN w:val="0"/>
              <w:adjustRightInd w:val="0"/>
              <w:ind w:firstLine="540"/>
              <w:jc w:val="center"/>
              <w:rPr>
                <w:rFonts w:ascii="Times New Roman" w:hAnsi="Times New Roman" w:cs="Times New Roman"/>
              </w:rPr>
            </w:pPr>
            <w:r w:rsidRPr="00C97808">
              <w:rPr>
                <w:rFonts w:ascii="Times New Roman" w:hAnsi="Times New Roman" w:cs="Times New Roman"/>
              </w:rPr>
              <w:t xml:space="preserve">«Об исполнительном производстве» </w:t>
            </w:r>
          </w:p>
          <w:p w:rsidR="00C97808" w:rsidRPr="00C97808" w:rsidRDefault="00C97808" w:rsidP="00C97808">
            <w:pPr>
              <w:autoSpaceDE w:val="0"/>
              <w:autoSpaceDN w:val="0"/>
              <w:adjustRightInd w:val="0"/>
              <w:ind w:firstLine="540"/>
              <w:jc w:val="both"/>
              <w:rPr>
                <w:rFonts w:ascii="Times New Roman" w:hAnsi="Times New Roman" w:cs="Times New Roman"/>
              </w:rPr>
            </w:pPr>
          </w:p>
        </w:tc>
        <w:tc>
          <w:tcPr>
            <w:tcW w:w="4382" w:type="dxa"/>
          </w:tcPr>
          <w:p w:rsidR="00C97808" w:rsidRDefault="00C97808" w:rsidP="00C97808">
            <w:pPr>
              <w:autoSpaceDE w:val="0"/>
              <w:autoSpaceDN w:val="0"/>
              <w:adjustRightInd w:val="0"/>
              <w:ind w:firstLine="540"/>
              <w:jc w:val="both"/>
              <w:outlineLvl w:val="0"/>
              <w:rPr>
                <w:rFonts w:ascii="Calibri" w:hAnsi="Calibri" w:cs="Calibri"/>
              </w:rPr>
            </w:pPr>
            <w:r>
              <w:rPr>
                <w:rFonts w:ascii="Calibri" w:hAnsi="Calibri" w:cs="Calibri"/>
              </w:rPr>
              <w:t>Статья 69. Порядок обращения взыскания на имущество должника</w:t>
            </w:r>
          </w:p>
          <w:p w:rsidR="00C97808" w:rsidRDefault="00C97808" w:rsidP="00C97808">
            <w:pPr>
              <w:widowControl w:val="0"/>
              <w:autoSpaceDE w:val="0"/>
              <w:autoSpaceDN w:val="0"/>
              <w:adjustRightInd w:val="0"/>
              <w:ind w:firstLine="540"/>
              <w:jc w:val="both"/>
              <w:rPr>
                <w:rFonts w:ascii="Calibri" w:hAnsi="Calibri" w:cs="Calibri"/>
              </w:rPr>
            </w:pPr>
          </w:p>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rPr>
              <w:t xml:space="preserve">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w:t>
            </w:r>
            <w:r>
              <w:rPr>
                <w:rFonts w:ascii="Calibri" w:hAnsi="Calibri" w:cs="Calibri"/>
              </w:rPr>
              <w:lastRenderedPageBreak/>
              <w:t>документа.</w:t>
            </w:r>
          </w:p>
          <w:p w:rsidR="00C97808" w:rsidRDefault="00C97808" w:rsidP="00C97808">
            <w:pPr>
              <w:widowControl w:val="0"/>
              <w:autoSpaceDE w:val="0"/>
              <w:autoSpaceDN w:val="0"/>
              <w:adjustRightInd w:val="0"/>
              <w:ind w:firstLine="540"/>
              <w:jc w:val="both"/>
              <w:rPr>
                <w:rFonts w:ascii="Calibri" w:hAnsi="Calibri" w:cs="Calibri"/>
              </w:rPr>
            </w:pPr>
          </w:p>
          <w:p w:rsidR="00C97808" w:rsidRPr="00C97808" w:rsidRDefault="00C97808" w:rsidP="00C97808">
            <w:pPr>
              <w:autoSpaceDE w:val="0"/>
              <w:autoSpaceDN w:val="0"/>
              <w:adjustRightInd w:val="0"/>
              <w:ind w:firstLine="540"/>
              <w:jc w:val="both"/>
              <w:outlineLvl w:val="0"/>
              <w:rPr>
                <w:rFonts w:ascii="Calibri" w:hAnsi="Calibri" w:cs="Calibri"/>
              </w:rPr>
            </w:pPr>
          </w:p>
        </w:tc>
        <w:tc>
          <w:tcPr>
            <w:tcW w:w="4463" w:type="dxa"/>
          </w:tcPr>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rPr>
              <w:lastRenderedPageBreak/>
              <w:t>Статья 69. Порядок обращения взыскания на имущество должника</w:t>
            </w:r>
          </w:p>
          <w:p w:rsidR="00C97808" w:rsidRDefault="00C97808" w:rsidP="00C97808">
            <w:pPr>
              <w:widowControl w:val="0"/>
              <w:autoSpaceDE w:val="0"/>
              <w:autoSpaceDN w:val="0"/>
              <w:adjustRightInd w:val="0"/>
              <w:ind w:left="-426" w:firstLine="966"/>
              <w:jc w:val="both"/>
              <w:rPr>
                <w:rFonts w:ascii="Calibri" w:hAnsi="Calibri" w:cs="Calibri"/>
              </w:rPr>
            </w:pPr>
          </w:p>
          <w:p w:rsidR="00C97808" w:rsidRDefault="00C97808" w:rsidP="00C97808">
            <w:pPr>
              <w:widowControl w:val="0"/>
              <w:autoSpaceDE w:val="0"/>
              <w:autoSpaceDN w:val="0"/>
              <w:adjustRightInd w:val="0"/>
              <w:ind w:firstLine="540"/>
              <w:jc w:val="both"/>
              <w:rPr>
                <w:rFonts w:ascii="Calibri" w:hAnsi="Calibri" w:cs="Calibri"/>
              </w:rPr>
            </w:pPr>
            <w:r>
              <w:rPr>
                <w:rFonts w:ascii="Calibri" w:hAnsi="Calibri" w:cs="Calibri"/>
              </w:rPr>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C97808" w:rsidRDefault="00C97808" w:rsidP="00C97808">
            <w:pPr>
              <w:autoSpaceDE w:val="0"/>
              <w:autoSpaceDN w:val="0"/>
              <w:adjustRightInd w:val="0"/>
              <w:ind w:firstLine="540"/>
              <w:jc w:val="both"/>
              <w:rPr>
                <w:rFonts w:ascii="Calibri" w:hAnsi="Calibri" w:cs="Calibri"/>
                <w:iCs/>
                <w:color w:val="0000FF"/>
              </w:rPr>
            </w:pPr>
            <w:r w:rsidRPr="00B116AF">
              <w:rPr>
                <w:rFonts w:ascii="Calibri" w:hAnsi="Calibri" w:cs="Calibri"/>
                <w:color w:val="0000FF"/>
              </w:rPr>
              <w:lastRenderedPageBreak/>
              <w:t xml:space="preserve">При  отсутствии у должника иного имущества, соразмерного обеспечиваемому требованию, судебным приставом-исполнителем </w:t>
            </w:r>
            <w:r>
              <w:rPr>
                <w:rFonts w:ascii="Calibri" w:hAnsi="Calibri" w:cs="Calibri"/>
                <w:color w:val="0000FF"/>
              </w:rPr>
              <w:t xml:space="preserve">в целях исполнения требований, содержащихся в исполнительном документе, </w:t>
            </w:r>
            <w:r w:rsidRPr="00B116AF">
              <w:rPr>
                <w:rFonts w:ascii="Calibri" w:hAnsi="Calibri" w:cs="Calibri"/>
                <w:color w:val="0000FF"/>
              </w:rPr>
              <w:t>могут быть приняты меры для наложения ареста и обращения взыскания на иное имущество должника, стоимость которого может превышать сумму взыскиваемого долга.</w:t>
            </w:r>
            <w:r>
              <w:rPr>
                <w:rFonts w:ascii="Calibri" w:hAnsi="Calibri" w:cs="Calibri"/>
                <w:color w:val="0000FF"/>
              </w:rPr>
              <w:t xml:space="preserve">  </w:t>
            </w:r>
            <w:r w:rsidRPr="0028656E">
              <w:rPr>
                <w:rFonts w:ascii="Calibri" w:hAnsi="Calibri" w:cs="Calibri"/>
                <w:color w:val="0000FF"/>
              </w:rPr>
              <w:t xml:space="preserve">Денежные средства, вырученные от реализации имущества должника и оставшиеся после возмещения </w:t>
            </w:r>
            <w:r>
              <w:rPr>
                <w:rFonts w:ascii="Calibri" w:hAnsi="Calibri" w:cs="Calibri"/>
                <w:color w:val="0000FF"/>
              </w:rPr>
              <w:t xml:space="preserve">исполнительского сбора и </w:t>
            </w:r>
            <w:r w:rsidRPr="0028656E">
              <w:rPr>
                <w:rFonts w:ascii="Calibri" w:hAnsi="Calibri" w:cs="Calibri"/>
                <w:color w:val="0000FF"/>
              </w:rPr>
              <w:t xml:space="preserve">расходов по </w:t>
            </w:r>
            <w:r>
              <w:rPr>
                <w:rFonts w:ascii="Calibri" w:hAnsi="Calibri" w:cs="Calibri"/>
                <w:color w:val="0000FF"/>
              </w:rPr>
              <w:t>совершению исполнительских действий</w:t>
            </w:r>
            <w:r w:rsidRPr="0028656E">
              <w:rPr>
                <w:rFonts w:ascii="Calibri" w:hAnsi="Calibri" w:cs="Calibri"/>
                <w:color w:val="0000FF"/>
              </w:rPr>
              <w:t>,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tc>
      </w:tr>
    </w:tbl>
    <w:p w:rsidR="00410F11" w:rsidRPr="00410F11" w:rsidRDefault="00410F11" w:rsidP="00410F11">
      <w:pPr>
        <w:jc w:val="center"/>
        <w:rPr>
          <w:rFonts w:ascii="Times New Roman" w:hAnsi="Times New Roman" w:cs="Times New Roman"/>
          <w:sz w:val="28"/>
          <w:szCs w:val="28"/>
        </w:rPr>
      </w:pPr>
    </w:p>
    <w:sectPr w:rsidR="00410F11" w:rsidRPr="00410F11" w:rsidSect="00410F11">
      <w:pgSz w:w="16838" w:h="11906" w:orient="landscape"/>
      <w:pgMar w:top="567" w:right="82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116E8"/>
    <w:multiLevelType w:val="hybridMultilevel"/>
    <w:tmpl w:val="EA30BC14"/>
    <w:lvl w:ilvl="0" w:tplc="C686A57A">
      <w:start w:val="1"/>
      <w:numFmt w:val="decimal"/>
      <w:lvlText w:val="%1."/>
      <w:lvlJc w:val="left"/>
      <w:pPr>
        <w:tabs>
          <w:tab w:val="num" w:pos="720"/>
        </w:tabs>
        <w:ind w:left="720" w:hanging="360"/>
      </w:pPr>
    </w:lvl>
    <w:lvl w:ilvl="1" w:tplc="A1D4DE3A">
      <w:start w:val="1"/>
      <w:numFmt w:val="decimal"/>
      <w:lvlText w:val="%2."/>
      <w:lvlJc w:val="left"/>
      <w:pPr>
        <w:tabs>
          <w:tab w:val="num" w:pos="1440"/>
        </w:tabs>
        <w:ind w:left="1440" w:hanging="360"/>
      </w:pPr>
    </w:lvl>
    <w:lvl w:ilvl="2" w:tplc="D5968C56">
      <w:start w:val="1"/>
      <w:numFmt w:val="decimal"/>
      <w:lvlText w:val="%3."/>
      <w:lvlJc w:val="left"/>
      <w:pPr>
        <w:tabs>
          <w:tab w:val="num" w:pos="2160"/>
        </w:tabs>
        <w:ind w:left="2160" w:hanging="360"/>
      </w:pPr>
    </w:lvl>
    <w:lvl w:ilvl="3" w:tplc="49D6FADE">
      <w:start w:val="1"/>
      <w:numFmt w:val="decimal"/>
      <w:lvlText w:val="%4."/>
      <w:lvlJc w:val="left"/>
      <w:pPr>
        <w:tabs>
          <w:tab w:val="num" w:pos="2880"/>
        </w:tabs>
        <w:ind w:left="2880" w:hanging="360"/>
      </w:pPr>
    </w:lvl>
    <w:lvl w:ilvl="4" w:tplc="BB124466">
      <w:start w:val="1"/>
      <w:numFmt w:val="decimal"/>
      <w:lvlText w:val="%5."/>
      <w:lvlJc w:val="left"/>
      <w:pPr>
        <w:tabs>
          <w:tab w:val="num" w:pos="3600"/>
        </w:tabs>
        <w:ind w:left="3600" w:hanging="360"/>
      </w:pPr>
    </w:lvl>
    <w:lvl w:ilvl="5" w:tplc="6400BE84">
      <w:start w:val="1"/>
      <w:numFmt w:val="decimal"/>
      <w:lvlText w:val="%6."/>
      <w:lvlJc w:val="left"/>
      <w:pPr>
        <w:tabs>
          <w:tab w:val="num" w:pos="4320"/>
        </w:tabs>
        <w:ind w:left="4320" w:hanging="360"/>
      </w:pPr>
    </w:lvl>
    <w:lvl w:ilvl="6" w:tplc="480687E2">
      <w:start w:val="1"/>
      <w:numFmt w:val="decimal"/>
      <w:lvlText w:val="%7."/>
      <w:lvlJc w:val="left"/>
      <w:pPr>
        <w:tabs>
          <w:tab w:val="num" w:pos="5040"/>
        </w:tabs>
        <w:ind w:left="5040" w:hanging="360"/>
      </w:pPr>
    </w:lvl>
    <w:lvl w:ilvl="7" w:tplc="705AAF80">
      <w:start w:val="1"/>
      <w:numFmt w:val="decimal"/>
      <w:lvlText w:val="%8."/>
      <w:lvlJc w:val="left"/>
      <w:pPr>
        <w:tabs>
          <w:tab w:val="num" w:pos="5760"/>
        </w:tabs>
        <w:ind w:left="5760" w:hanging="360"/>
      </w:pPr>
    </w:lvl>
    <w:lvl w:ilvl="8" w:tplc="38BCD360">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F11"/>
    <w:rsid w:val="001628B8"/>
    <w:rsid w:val="00410F11"/>
    <w:rsid w:val="00413690"/>
    <w:rsid w:val="004E15B1"/>
    <w:rsid w:val="00955934"/>
    <w:rsid w:val="00B3470E"/>
    <w:rsid w:val="00C309AE"/>
    <w:rsid w:val="00C97808"/>
    <w:rsid w:val="00D74737"/>
    <w:rsid w:val="00DE4E78"/>
    <w:rsid w:val="00E538E6"/>
    <w:rsid w:val="00FF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604412D3536E477C84711401B7DE969CC82DD87C75AB9982460DC0965005C17D1CC150E5744973U0KCF" TargetMode="External"/><Relationship Id="rId5" Type="http://schemas.openxmlformats.org/officeDocument/2006/relationships/hyperlink" Target="consultantplus://offline/ref=CE604412D3536E477C84711401B7DE969CC82DD87C75AB9982460DC0965005C17D1CC150E5744973U0KC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OAO DGK</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Галина Сергеевна</dc:creator>
  <cp:lastModifiedBy>Администратор</cp:lastModifiedBy>
  <cp:revision>2</cp:revision>
  <cp:lastPrinted>2013-03-26T05:50:00Z</cp:lastPrinted>
  <dcterms:created xsi:type="dcterms:W3CDTF">2013-04-11T05:56:00Z</dcterms:created>
  <dcterms:modified xsi:type="dcterms:W3CDTF">2013-04-11T05:56:00Z</dcterms:modified>
</cp:coreProperties>
</file>